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4D2D" w:rsidRPr="00334D2D" w:rsidRDefault="00334D2D" w:rsidP="00334D2D">
      <w:pPr>
        <w:jc w:val="center"/>
        <w:rPr>
          <w:rFonts w:ascii="Times New Roman" w:eastAsia="Times New Roman" w:hAnsi="Times New Roman" w:cs="Times New Roman"/>
          <w:lang w:eastAsia="nl-NL"/>
        </w:rPr>
      </w:pPr>
      <w:r w:rsidRPr="00DE174E">
        <w:rPr>
          <w:rFonts w:ascii="Times New Roman" w:eastAsia="Times New Roman" w:hAnsi="Times New Roman" w:cs="Times New Roman"/>
          <w:lang w:eastAsia="nl-NL"/>
        </w:rPr>
        <w:fldChar w:fldCharType="begin"/>
      </w:r>
      <w:r w:rsidRPr="00334D2D">
        <w:rPr>
          <w:rFonts w:ascii="Times New Roman" w:eastAsia="Times New Roman" w:hAnsi="Times New Roman" w:cs="Times New Roman"/>
          <w:lang w:eastAsia="nl-NL"/>
        </w:rPr>
        <w:instrText xml:space="preserve"> INCLUDEPICTURE "/var/folders/tk/hbjyn29x3kqgvnxcq2x76nw80000gn/T/com.microsoft.Word/WebArchiveCopyPasteTempFiles/cfa825ec-99b7-489f-8035-9dabc753f69d" \* MERGEFORMATINET </w:instrText>
      </w:r>
      <w:r w:rsidRPr="00DE174E">
        <w:rPr>
          <w:rFonts w:ascii="Times New Roman" w:eastAsia="Times New Roman" w:hAnsi="Times New Roman" w:cs="Times New Roman"/>
          <w:lang w:eastAsia="nl-NL"/>
        </w:rPr>
        <w:fldChar w:fldCharType="separate"/>
      </w:r>
      <w:r w:rsidRPr="00DE174E">
        <w:rPr>
          <w:rFonts w:ascii="Times New Roman" w:eastAsia="Times New Roman" w:hAnsi="Times New Roman" w:cs="Times New Roman"/>
          <w:noProof/>
          <w:lang w:eastAsia="nl-NL"/>
        </w:rPr>
        <w:drawing>
          <wp:inline distT="0" distB="0" distL="0" distR="0" wp14:anchorId="74C7F73B" wp14:editId="3664982E">
            <wp:extent cx="810322" cy="810322"/>
            <wp:effectExtent l="0" t="0" r="2540" b="2540"/>
            <wp:docPr id="1" name="Afbeelding 1" descr="Afbeelding met teken, voedsel, bord,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093" cy="827093"/>
                    </a:xfrm>
                    <a:prstGeom prst="rect">
                      <a:avLst/>
                    </a:prstGeom>
                    <a:noFill/>
                    <a:ln>
                      <a:noFill/>
                    </a:ln>
                  </pic:spPr>
                </pic:pic>
              </a:graphicData>
            </a:graphic>
          </wp:inline>
        </w:drawing>
      </w:r>
      <w:r w:rsidRPr="00DE174E">
        <w:rPr>
          <w:rFonts w:ascii="Times New Roman" w:eastAsia="Times New Roman" w:hAnsi="Times New Roman" w:cs="Times New Roman"/>
          <w:lang w:eastAsia="nl-NL"/>
        </w:rPr>
        <w:fldChar w:fldCharType="end"/>
      </w:r>
      <w:r w:rsidRPr="00334D2D">
        <w:rPr>
          <w:rFonts w:ascii="Times New Roman" w:eastAsia="Times New Roman" w:hAnsi="Times New Roman" w:cs="Times New Roman"/>
          <w:lang w:eastAsia="nl-NL"/>
        </w:rPr>
        <w:t xml:space="preserve">                                                             </w:t>
      </w:r>
      <w:r>
        <w:rPr>
          <w:noProof/>
          <w:sz w:val="36"/>
        </w:rPr>
        <w:drawing>
          <wp:inline distT="0" distB="0" distL="0" distR="0" wp14:anchorId="4C2EFF64" wp14:editId="420881A2">
            <wp:extent cx="799434" cy="799434"/>
            <wp:effectExtent l="0" t="0" r="1270" b="1270"/>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pe voor banner-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170" cy="828170"/>
                    </a:xfrm>
                    <a:prstGeom prst="rect">
                      <a:avLst/>
                    </a:prstGeom>
                  </pic:spPr>
                </pic:pic>
              </a:graphicData>
            </a:graphic>
          </wp:inline>
        </w:drawing>
      </w:r>
    </w:p>
    <w:p w:rsidR="00334D2D" w:rsidRDefault="00334D2D" w:rsidP="00334D2D">
      <w:pPr>
        <w:rPr>
          <w:rFonts w:asciiTheme="majorHAnsi" w:hAnsiTheme="majorHAnsi" w:cstheme="majorHAnsi"/>
          <w:sz w:val="22"/>
          <w:szCs w:val="22"/>
          <w:lang w:val="nl-BE"/>
        </w:rPr>
      </w:pPr>
    </w:p>
    <w:p w:rsidR="00334D2D" w:rsidRPr="00334D2D" w:rsidRDefault="00334D2D" w:rsidP="00334D2D">
      <w:pPr>
        <w:rPr>
          <w:rFonts w:cstheme="majorHAnsi"/>
          <w:b/>
          <w:bCs/>
          <w:sz w:val="22"/>
          <w:szCs w:val="22"/>
          <w:lang w:val="nl-BE"/>
        </w:rPr>
      </w:pPr>
    </w:p>
    <w:p w:rsidR="00334D2D" w:rsidRPr="00334D2D" w:rsidRDefault="00334D2D" w:rsidP="00334D2D">
      <w:pPr>
        <w:rPr>
          <w:rFonts w:cstheme="majorHAnsi"/>
          <w:b/>
          <w:bCs/>
          <w:sz w:val="22"/>
          <w:szCs w:val="22"/>
          <w:lang w:val="nl-BE"/>
        </w:rPr>
      </w:pPr>
      <w:r w:rsidRPr="00334D2D">
        <w:rPr>
          <w:rFonts w:cstheme="majorHAnsi"/>
          <w:b/>
          <w:bCs/>
          <w:sz w:val="22"/>
          <w:szCs w:val="22"/>
          <w:lang w:val="nl-BE"/>
        </w:rPr>
        <w:t>PRAKTISCHE TIPS VOOR BELEIDSMAKERS OP LOAAL, REGIONAAL EN LANDELIJK NIVEAU</w:t>
      </w:r>
    </w:p>
    <w:p w:rsidR="00334D2D" w:rsidRPr="00334D2D" w:rsidRDefault="00334D2D" w:rsidP="00334D2D">
      <w:pPr>
        <w:rPr>
          <w:rFonts w:cstheme="majorHAnsi"/>
          <w:sz w:val="22"/>
          <w:szCs w:val="22"/>
          <w:lang w:val="nl-BE"/>
        </w:rPr>
      </w:pPr>
    </w:p>
    <w:p w:rsidR="00334D2D" w:rsidRPr="00334D2D" w:rsidRDefault="00334D2D" w:rsidP="00334D2D">
      <w:pPr>
        <w:rPr>
          <w:rFonts w:cstheme="majorHAnsi"/>
          <w:sz w:val="22"/>
          <w:szCs w:val="22"/>
          <w:lang w:val="nl-BE"/>
        </w:rPr>
      </w:pPr>
    </w:p>
    <w:p w:rsidR="00334D2D" w:rsidRPr="00334D2D" w:rsidRDefault="00334D2D" w:rsidP="00334D2D">
      <w:pPr>
        <w:rPr>
          <w:rFonts w:cstheme="majorHAnsi"/>
          <w:b/>
          <w:bCs/>
          <w:sz w:val="22"/>
          <w:szCs w:val="22"/>
          <w:lang w:val="nl-BE"/>
        </w:rPr>
      </w:pPr>
      <w:r>
        <w:rPr>
          <w:rFonts w:cstheme="majorHAnsi"/>
          <w:b/>
          <w:bCs/>
          <w:sz w:val="22"/>
          <w:szCs w:val="22"/>
          <w:lang w:val="nl-BE"/>
        </w:rPr>
        <w:t xml:space="preserve">De COVID-19 maatregelen hebben een grote impact op iedereen binnen de samenleving, maar vooral ook op de (mogelijke) slachtoffers van huiselijk geweld en kindermishandeling. Beperkende maatregelen van de fysieke vrijheid, sluiting van scholen, verplicht thuis blijven, sterk gereduceerd sociaal contact, mogelijk verlies van baan, financiele onzekerheid zijn, zoals we wetenm de grootste risicofactoren voor huiselijk geweld en kindermishandeling. </w:t>
      </w:r>
      <w:r w:rsidRPr="00334D2D">
        <w:rPr>
          <w:rFonts w:cstheme="majorHAnsi"/>
          <w:b/>
          <w:bCs/>
          <w:sz w:val="22"/>
          <w:szCs w:val="22"/>
          <w:lang w:val="nl-BE"/>
        </w:rPr>
        <w:t xml:space="preserve">De overheid mag onder de druk van de Covid-19 crisis niet de situatie van </w:t>
      </w:r>
      <w:r w:rsidRPr="00334D2D">
        <w:rPr>
          <w:rFonts w:cstheme="majorHAnsi"/>
          <w:b/>
          <w:bCs/>
          <w:sz w:val="22"/>
          <w:szCs w:val="22"/>
          <w:lang w:val="nl-BE"/>
        </w:rPr>
        <w:t xml:space="preserve">deze </w:t>
      </w:r>
      <w:r w:rsidRPr="00334D2D">
        <w:rPr>
          <w:rFonts w:cstheme="majorHAnsi"/>
          <w:b/>
          <w:bCs/>
          <w:sz w:val="22"/>
          <w:szCs w:val="22"/>
          <w:lang w:val="nl-BE"/>
        </w:rPr>
        <w:t xml:space="preserve">slachtoffers van </w:t>
      </w:r>
      <w:r w:rsidRPr="00334D2D">
        <w:rPr>
          <w:rFonts w:cstheme="majorHAnsi"/>
          <w:b/>
          <w:bCs/>
          <w:sz w:val="22"/>
          <w:szCs w:val="22"/>
          <w:lang w:val="nl-BE"/>
        </w:rPr>
        <w:t xml:space="preserve">huiselijk geweld en kindermishandeling </w:t>
      </w:r>
      <w:r w:rsidRPr="00334D2D">
        <w:rPr>
          <w:rFonts w:cstheme="majorHAnsi"/>
          <w:b/>
          <w:bCs/>
          <w:sz w:val="22"/>
          <w:szCs w:val="22"/>
          <w:lang w:val="nl-BE"/>
        </w:rPr>
        <w:t xml:space="preserve"> uit het oog verliezen, gezien zij deel uitmaken van de meest kwetsbare groepen in onze samenleving, die vaak gebukt gaan onder lange-termijneffecten van </w:t>
      </w:r>
      <w:r w:rsidRPr="00334D2D">
        <w:rPr>
          <w:rFonts w:cstheme="majorHAnsi"/>
          <w:b/>
          <w:bCs/>
          <w:sz w:val="22"/>
          <w:szCs w:val="22"/>
          <w:lang w:val="nl-BE"/>
        </w:rPr>
        <w:t xml:space="preserve">het geweld dat hun is aangedaan. </w:t>
      </w:r>
    </w:p>
    <w:p w:rsidR="00334D2D" w:rsidRPr="00334D2D" w:rsidRDefault="00334D2D" w:rsidP="00334D2D">
      <w:pPr>
        <w:rPr>
          <w:rFonts w:cstheme="majorHAnsi"/>
          <w:b/>
          <w:bCs/>
          <w:sz w:val="22"/>
          <w:szCs w:val="22"/>
          <w:lang w:val="nl-BE"/>
        </w:rPr>
      </w:pPr>
    </w:p>
    <w:p w:rsidR="00334D2D" w:rsidRPr="00334D2D" w:rsidRDefault="00334D2D" w:rsidP="00334D2D">
      <w:pPr>
        <w:rPr>
          <w:rFonts w:cstheme="majorHAnsi"/>
          <w:b/>
          <w:bCs/>
          <w:color w:val="000000"/>
          <w:sz w:val="22"/>
          <w:szCs w:val="22"/>
        </w:rPr>
      </w:pPr>
      <w:r w:rsidRPr="00334D2D">
        <w:rPr>
          <w:rFonts w:cstheme="majorHAnsi"/>
          <w:color w:val="000000"/>
          <w:sz w:val="22"/>
          <w:szCs w:val="22"/>
        </w:rPr>
        <w:t>Hoe kan de overheid tijdens deze crisis een belangrijke contributie leveren aan de kwetsbare groepen binnen de samenleving? Enkele praktische tips:</w:t>
      </w:r>
    </w:p>
    <w:p w:rsidR="00334D2D" w:rsidRPr="00334D2D" w:rsidRDefault="00334D2D" w:rsidP="00334D2D">
      <w:pPr>
        <w:pStyle w:val="Lijstalinea"/>
        <w:numPr>
          <w:ilvl w:val="0"/>
          <w:numId w:val="1"/>
        </w:numPr>
        <w:rPr>
          <w:rFonts w:asciiTheme="minorHAnsi" w:hAnsiTheme="minorHAnsi" w:cstheme="majorHAnsi"/>
          <w:color w:val="000000"/>
          <w:sz w:val="22"/>
          <w:szCs w:val="22"/>
        </w:rPr>
      </w:pPr>
      <w:r w:rsidRPr="00334D2D">
        <w:rPr>
          <w:rFonts w:asciiTheme="minorHAnsi" w:hAnsiTheme="minorHAnsi" w:cstheme="majorHAnsi"/>
          <w:color w:val="000000"/>
          <w:sz w:val="22"/>
          <w:szCs w:val="22"/>
        </w:rPr>
        <w:t xml:space="preserve">Geef hulpverleningsorganisaties, politie en justitie maximaal de mogelijkheden om hun rol in veiligheidsplanning bij (vermoedens van) </w:t>
      </w:r>
      <w:r w:rsidRPr="00334D2D">
        <w:rPr>
          <w:rFonts w:asciiTheme="minorHAnsi" w:hAnsiTheme="minorHAnsi" w:cstheme="majorHAnsi"/>
          <w:color w:val="000000"/>
          <w:sz w:val="22"/>
          <w:szCs w:val="22"/>
        </w:rPr>
        <w:t>huiselijk geweld en kindermishandeling</w:t>
      </w:r>
      <w:r w:rsidRPr="00334D2D">
        <w:rPr>
          <w:rFonts w:asciiTheme="minorHAnsi" w:hAnsiTheme="minorHAnsi" w:cstheme="majorHAnsi"/>
          <w:color w:val="000000"/>
          <w:sz w:val="22"/>
          <w:szCs w:val="22"/>
        </w:rPr>
        <w:t xml:space="preserve"> te kunnen blijven vervullen.</w:t>
      </w:r>
    </w:p>
    <w:p w:rsidR="00334D2D" w:rsidRPr="00334D2D" w:rsidRDefault="00334D2D" w:rsidP="00334D2D">
      <w:pPr>
        <w:pStyle w:val="Lijstalinea"/>
        <w:numPr>
          <w:ilvl w:val="0"/>
          <w:numId w:val="1"/>
        </w:numPr>
        <w:rPr>
          <w:rFonts w:asciiTheme="minorHAnsi" w:hAnsiTheme="minorHAnsi" w:cstheme="majorHAnsi"/>
          <w:color w:val="000000"/>
          <w:sz w:val="22"/>
          <w:szCs w:val="22"/>
        </w:rPr>
      </w:pPr>
      <w:r w:rsidRPr="00334D2D">
        <w:rPr>
          <w:rFonts w:asciiTheme="minorHAnsi" w:hAnsiTheme="minorHAnsi" w:cstheme="majorHAnsi"/>
          <w:color w:val="000000"/>
          <w:sz w:val="22"/>
          <w:szCs w:val="22"/>
        </w:rPr>
        <w:t xml:space="preserve">Informeer de samenleving heel nadrukkelijk dat ondanks alle COVID-19 maatregelen de aandacht voor </w:t>
      </w:r>
      <w:r w:rsidRPr="00334D2D">
        <w:rPr>
          <w:rFonts w:asciiTheme="minorHAnsi" w:hAnsiTheme="minorHAnsi" w:cstheme="majorHAnsi"/>
          <w:color w:val="000000"/>
          <w:sz w:val="22"/>
          <w:szCs w:val="22"/>
        </w:rPr>
        <w:t>huiselijk geweld en kindermishandeling</w:t>
      </w:r>
      <w:r w:rsidRPr="00334D2D">
        <w:rPr>
          <w:rFonts w:asciiTheme="minorHAnsi" w:hAnsiTheme="minorHAnsi" w:cstheme="majorHAnsi"/>
          <w:color w:val="000000"/>
          <w:sz w:val="22"/>
          <w:szCs w:val="22"/>
        </w:rPr>
        <w:t xml:space="preserve"> onverkort van kracht blijft. Overweeg bv. een ‘Zero-tolerance’ beleid in te voeren bij situaties van </w:t>
      </w:r>
      <w:r w:rsidRPr="00334D2D">
        <w:rPr>
          <w:rFonts w:asciiTheme="minorHAnsi" w:hAnsiTheme="minorHAnsi" w:cstheme="majorHAnsi"/>
          <w:color w:val="000000"/>
          <w:sz w:val="22"/>
          <w:szCs w:val="22"/>
        </w:rPr>
        <w:t>huiselijk geweld en kindermishaneling</w:t>
      </w:r>
      <w:r w:rsidRPr="00334D2D">
        <w:rPr>
          <w:rFonts w:asciiTheme="minorHAnsi" w:hAnsiTheme="minorHAnsi" w:cstheme="majorHAnsi"/>
          <w:color w:val="000000"/>
          <w:sz w:val="22"/>
          <w:szCs w:val="22"/>
        </w:rPr>
        <w:t xml:space="preserve">. Geef de duidelijke boodschap dat de ondanks alle COVID-19 maatregelen de overheid de ernst en impact van </w:t>
      </w:r>
      <w:r w:rsidRPr="00334D2D">
        <w:rPr>
          <w:rFonts w:asciiTheme="minorHAnsi" w:hAnsiTheme="minorHAnsi" w:cstheme="majorHAnsi"/>
          <w:color w:val="000000"/>
          <w:sz w:val="22"/>
          <w:szCs w:val="22"/>
        </w:rPr>
        <w:t>huiselijk geweld en kindermishandeling</w:t>
      </w:r>
      <w:r w:rsidRPr="00334D2D">
        <w:rPr>
          <w:rFonts w:asciiTheme="minorHAnsi" w:hAnsiTheme="minorHAnsi" w:cstheme="majorHAnsi"/>
          <w:color w:val="000000"/>
          <w:sz w:val="22"/>
          <w:szCs w:val="22"/>
        </w:rPr>
        <w:t xml:space="preserve"> erkend en (potentiële) slachtoffers en hun gezinnen blijft motiveren om hulp te zoeken. </w:t>
      </w:r>
      <w:r w:rsidRPr="00334D2D">
        <w:rPr>
          <w:rFonts w:asciiTheme="minorHAnsi" w:hAnsiTheme="minorHAnsi" w:cstheme="majorHAnsi"/>
          <w:color w:val="000000"/>
          <w:sz w:val="22"/>
          <w:szCs w:val="22"/>
        </w:rPr>
        <w:t xml:space="preserve">Geef de boodschap dat de overheid hun niet in steek laat. </w:t>
      </w:r>
    </w:p>
    <w:p w:rsidR="00334D2D" w:rsidRPr="00334D2D" w:rsidRDefault="00334D2D" w:rsidP="00334D2D">
      <w:pPr>
        <w:pStyle w:val="Lijstalinea"/>
        <w:numPr>
          <w:ilvl w:val="0"/>
          <w:numId w:val="1"/>
        </w:numPr>
        <w:rPr>
          <w:rFonts w:asciiTheme="minorHAnsi" w:hAnsiTheme="minorHAnsi" w:cstheme="majorHAnsi"/>
          <w:color w:val="000000"/>
          <w:sz w:val="22"/>
          <w:szCs w:val="22"/>
        </w:rPr>
      </w:pPr>
      <w:r w:rsidRPr="00334D2D">
        <w:rPr>
          <w:rFonts w:asciiTheme="minorHAnsi" w:hAnsiTheme="minorHAnsi" w:cstheme="majorHAnsi"/>
          <w:color w:val="000000"/>
          <w:sz w:val="22"/>
          <w:szCs w:val="22"/>
        </w:rPr>
        <w:t xml:space="preserve">Zorg voor een heldere en duidelijk communicatie over de mogelijke beschikbare hulpbronnen voor gezinnen waarbij sprake is van een (dreigende) situatie van </w:t>
      </w:r>
      <w:r w:rsidRPr="00334D2D">
        <w:rPr>
          <w:rFonts w:asciiTheme="minorHAnsi" w:hAnsiTheme="minorHAnsi" w:cstheme="majorHAnsi"/>
          <w:color w:val="000000"/>
          <w:sz w:val="22"/>
          <w:szCs w:val="22"/>
        </w:rPr>
        <w:t>huiselijk geweld en kinfermishandeling.</w:t>
      </w:r>
    </w:p>
    <w:p w:rsidR="00334D2D" w:rsidRPr="00334D2D" w:rsidRDefault="00334D2D" w:rsidP="00334D2D">
      <w:pPr>
        <w:pStyle w:val="Lijstalinea"/>
        <w:numPr>
          <w:ilvl w:val="0"/>
          <w:numId w:val="1"/>
        </w:numPr>
        <w:rPr>
          <w:rFonts w:asciiTheme="minorHAnsi" w:hAnsiTheme="minorHAnsi" w:cstheme="majorHAnsi"/>
          <w:color w:val="000000"/>
          <w:sz w:val="22"/>
          <w:szCs w:val="22"/>
        </w:rPr>
      </w:pPr>
      <w:r w:rsidRPr="00334D2D">
        <w:rPr>
          <w:rFonts w:asciiTheme="minorHAnsi" w:hAnsiTheme="minorHAnsi" w:cstheme="majorHAnsi"/>
          <w:color w:val="000000"/>
          <w:sz w:val="22"/>
          <w:szCs w:val="22"/>
        </w:rPr>
        <w:t>Maak zoveel mogelijk gebruik van de landelijke media, zoals TV, radio, social media, etc.</w:t>
      </w:r>
    </w:p>
    <w:p w:rsidR="00334D2D" w:rsidRPr="00334D2D" w:rsidRDefault="00334D2D" w:rsidP="00334D2D">
      <w:pPr>
        <w:pStyle w:val="Lijstalinea"/>
        <w:numPr>
          <w:ilvl w:val="0"/>
          <w:numId w:val="1"/>
        </w:numPr>
        <w:rPr>
          <w:rFonts w:asciiTheme="minorHAnsi" w:hAnsiTheme="minorHAnsi" w:cstheme="majorHAnsi"/>
          <w:color w:val="000000"/>
          <w:sz w:val="22"/>
          <w:szCs w:val="22"/>
        </w:rPr>
      </w:pPr>
      <w:r w:rsidRPr="00334D2D">
        <w:rPr>
          <w:rFonts w:asciiTheme="minorHAnsi" w:hAnsiTheme="minorHAnsi" w:cstheme="majorHAnsi"/>
          <w:color w:val="000000"/>
          <w:sz w:val="22"/>
          <w:szCs w:val="22"/>
        </w:rPr>
        <w:t>Speel als overheid in op de solidariteit van medeburgers ten aanzien van slachtoffers van huiselijk geweld en kindermishandeling</w:t>
      </w:r>
      <w:r w:rsidRPr="00334D2D">
        <w:rPr>
          <w:rFonts w:asciiTheme="minorHAnsi" w:hAnsiTheme="minorHAnsi" w:cstheme="majorHAnsi"/>
          <w:sz w:val="22"/>
          <w:szCs w:val="22"/>
        </w:rPr>
        <w:t xml:space="preserve">, roep op om mee te waken over gezinnen in precaire situaties en in contact te treden bij (vermoeden van) geweld. </w:t>
      </w:r>
    </w:p>
    <w:p w:rsidR="00334D2D" w:rsidRPr="00334D2D" w:rsidRDefault="00334D2D" w:rsidP="00334D2D">
      <w:pPr>
        <w:ind w:left="400"/>
        <w:rPr>
          <w:rFonts w:cstheme="majorHAnsi"/>
          <w:color w:val="000000"/>
          <w:sz w:val="22"/>
          <w:szCs w:val="22"/>
        </w:rPr>
      </w:pPr>
      <w:bookmarkStart w:id="0" w:name="_GoBack"/>
      <w:bookmarkEnd w:id="0"/>
    </w:p>
    <w:tbl>
      <w:tblPr>
        <w:tblStyle w:val="Tabelraster"/>
        <w:tblW w:w="0" w:type="auto"/>
        <w:tblLook w:val="04A0" w:firstRow="1" w:lastRow="0" w:firstColumn="1" w:lastColumn="0" w:noHBand="0" w:noVBand="1"/>
      </w:tblPr>
      <w:tblGrid>
        <w:gridCol w:w="9054"/>
      </w:tblGrid>
      <w:tr w:rsidR="00334D2D" w:rsidRPr="00334D2D" w:rsidTr="006A6EC0">
        <w:trPr>
          <w:trHeight w:val="1867"/>
        </w:trPr>
        <w:tc>
          <w:tcPr>
            <w:tcW w:w="9056" w:type="dxa"/>
          </w:tcPr>
          <w:p w:rsidR="00334D2D" w:rsidRPr="00F66D9C" w:rsidRDefault="00334D2D" w:rsidP="006A6EC0">
            <w:pPr>
              <w:rPr>
                <w:rFonts w:cstheme="minorHAnsi"/>
                <w:b/>
                <w:bCs/>
                <w:color w:val="000000"/>
                <w:sz w:val="22"/>
                <w:szCs w:val="22"/>
                <w:lang w:val="en-US"/>
              </w:rPr>
            </w:pPr>
            <w:r w:rsidRPr="00F66D9C">
              <w:rPr>
                <w:rFonts w:cstheme="minorHAnsi"/>
                <w:b/>
                <w:bCs/>
                <w:color w:val="000000"/>
                <w:sz w:val="22"/>
                <w:szCs w:val="22"/>
                <w:lang w:val="en-US"/>
              </w:rPr>
              <w:t xml:space="preserve">Amandine </w:t>
            </w:r>
            <w:proofErr w:type="spellStart"/>
            <w:r w:rsidRPr="00F66D9C">
              <w:rPr>
                <w:rFonts w:cstheme="minorHAnsi"/>
                <w:b/>
                <w:bCs/>
                <w:color w:val="000000"/>
                <w:sz w:val="22"/>
                <w:szCs w:val="22"/>
                <w:lang w:val="en-US"/>
              </w:rPr>
              <w:t>Clavaud</w:t>
            </w:r>
            <w:proofErr w:type="spellEnd"/>
            <w:r w:rsidRPr="00F66D9C">
              <w:rPr>
                <w:rFonts w:cstheme="minorHAnsi"/>
                <w:b/>
                <w:bCs/>
                <w:color w:val="000000"/>
                <w:sz w:val="22"/>
                <w:szCs w:val="22"/>
                <w:lang w:val="en-US"/>
              </w:rPr>
              <w:t xml:space="preserve">, policy adviser on Europe and Gender Equality within the </w:t>
            </w:r>
            <w:proofErr w:type="spellStart"/>
            <w:r w:rsidRPr="00F66D9C">
              <w:rPr>
                <w:rFonts w:cstheme="minorHAnsi"/>
                <w:b/>
                <w:bCs/>
                <w:color w:val="000000"/>
                <w:sz w:val="22"/>
                <w:szCs w:val="22"/>
                <w:lang w:val="en-US"/>
              </w:rPr>
              <w:t>Fondation</w:t>
            </w:r>
            <w:proofErr w:type="spellEnd"/>
            <w:r w:rsidRPr="00F66D9C">
              <w:rPr>
                <w:rFonts w:cstheme="minorHAnsi"/>
                <w:b/>
                <w:bCs/>
                <w:color w:val="000000"/>
                <w:sz w:val="22"/>
                <w:szCs w:val="22"/>
                <w:lang w:val="en-US"/>
              </w:rPr>
              <w:t xml:space="preserve"> Jean</w:t>
            </w:r>
          </w:p>
          <w:p w:rsidR="00334D2D" w:rsidRPr="00F66D9C" w:rsidRDefault="00334D2D" w:rsidP="006A6EC0">
            <w:pPr>
              <w:rPr>
                <w:rFonts w:cstheme="minorHAnsi"/>
                <w:b/>
                <w:bCs/>
                <w:color w:val="000000"/>
                <w:sz w:val="22"/>
                <w:szCs w:val="22"/>
                <w:lang w:val="en-US"/>
              </w:rPr>
            </w:pPr>
            <w:proofErr w:type="spellStart"/>
            <w:r w:rsidRPr="00F66D9C">
              <w:rPr>
                <w:rFonts w:cstheme="minorHAnsi"/>
                <w:b/>
                <w:bCs/>
                <w:color w:val="000000"/>
                <w:sz w:val="22"/>
                <w:szCs w:val="22"/>
                <w:lang w:val="en-US"/>
              </w:rPr>
              <w:t>Jaurès</w:t>
            </w:r>
            <w:proofErr w:type="spellEnd"/>
            <w:r w:rsidRPr="00F66D9C">
              <w:rPr>
                <w:rFonts w:cstheme="minorHAnsi"/>
                <w:b/>
                <w:bCs/>
                <w:color w:val="000000"/>
                <w:sz w:val="22"/>
                <w:szCs w:val="22"/>
                <w:lang w:val="en-US"/>
              </w:rPr>
              <w:t xml:space="preserve"> (Paris):</w:t>
            </w:r>
          </w:p>
          <w:p w:rsidR="00334D2D" w:rsidRPr="00F66D9C" w:rsidRDefault="00334D2D" w:rsidP="006A6EC0">
            <w:pPr>
              <w:rPr>
                <w:rFonts w:cstheme="minorHAnsi"/>
                <w:b/>
                <w:bCs/>
                <w:color w:val="000000"/>
                <w:sz w:val="22"/>
                <w:szCs w:val="22"/>
                <w:lang w:val="en-US"/>
              </w:rPr>
            </w:pPr>
          </w:p>
          <w:p w:rsidR="00334D2D" w:rsidRDefault="00334D2D" w:rsidP="006A6EC0">
            <w:pPr>
              <w:rPr>
                <w:rFonts w:cstheme="minorHAnsi"/>
                <w:b/>
                <w:bCs/>
                <w:i/>
                <w:iCs/>
                <w:color w:val="000000"/>
                <w:sz w:val="22"/>
                <w:szCs w:val="22"/>
                <w:lang w:val="en-US"/>
              </w:rPr>
            </w:pPr>
            <w:r w:rsidRPr="00F66D9C">
              <w:rPr>
                <w:rFonts w:cstheme="minorHAnsi"/>
                <w:b/>
                <w:bCs/>
                <w:color w:val="000000"/>
                <w:sz w:val="22"/>
                <w:szCs w:val="22"/>
                <w:lang w:val="en-US"/>
              </w:rPr>
              <w:t>“</w:t>
            </w:r>
            <w:r w:rsidRPr="00F66D9C">
              <w:rPr>
                <w:rFonts w:cstheme="minorHAnsi"/>
                <w:b/>
                <w:bCs/>
                <w:i/>
                <w:iCs/>
                <w:color w:val="000000"/>
                <w:sz w:val="22"/>
                <w:szCs w:val="22"/>
                <w:lang w:val="en-US"/>
              </w:rPr>
              <w:t>We have to be very attentive to the risks towards women and children amid this crisis, because the work of associations will possibly slow down with the quarantine. In the case where public services reach saturation point, the treatments of domestic violence cases should definitely not be left</w:t>
            </w:r>
            <w:r>
              <w:rPr>
                <w:rFonts w:cstheme="minorHAnsi"/>
                <w:b/>
                <w:bCs/>
                <w:i/>
                <w:iCs/>
                <w:color w:val="000000"/>
                <w:sz w:val="22"/>
                <w:szCs w:val="22"/>
                <w:lang w:val="en-US"/>
              </w:rPr>
              <w:t xml:space="preserve"> </w:t>
            </w:r>
            <w:r w:rsidRPr="00F66D9C">
              <w:rPr>
                <w:rFonts w:cstheme="minorHAnsi"/>
                <w:b/>
                <w:bCs/>
                <w:i/>
                <w:iCs/>
                <w:color w:val="000000"/>
                <w:sz w:val="22"/>
                <w:szCs w:val="22"/>
                <w:lang w:val="en-US"/>
              </w:rPr>
              <w:t>behind, but fully part of the whole strategy in dealing with the crisis.”</w:t>
            </w:r>
          </w:p>
          <w:p w:rsidR="00334D2D" w:rsidRDefault="00334D2D" w:rsidP="006A6EC0">
            <w:pPr>
              <w:rPr>
                <w:rFonts w:cstheme="minorHAnsi"/>
                <w:b/>
                <w:bCs/>
                <w:i/>
                <w:iCs/>
                <w:color w:val="000000"/>
                <w:sz w:val="22"/>
                <w:szCs w:val="22"/>
                <w:lang w:val="en-US"/>
              </w:rPr>
            </w:pPr>
          </w:p>
          <w:p w:rsidR="00334D2D" w:rsidRPr="00334D2D" w:rsidRDefault="00334D2D" w:rsidP="006A6EC0">
            <w:pPr>
              <w:rPr>
                <w:rFonts w:cstheme="minorHAnsi"/>
                <w:b/>
                <w:bCs/>
                <w:i/>
                <w:iCs/>
                <w:color w:val="000000"/>
                <w:sz w:val="22"/>
                <w:szCs w:val="22"/>
                <w:lang w:val="en-US"/>
              </w:rPr>
            </w:pPr>
            <w:r w:rsidRPr="003D552E">
              <w:rPr>
                <w:rFonts w:cstheme="minorHAnsi"/>
                <w:b/>
                <w:bCs/>
                <w:i/>
                <w:iCs/>
                <w:color w:val="000000"/>
                <w:sz w:val="16"/>
                <w:szCs w:val="16"/>
                <w:lang w:val="en-US"/>
              </w:rPr>
              <w:t>Source</w:t>
            </w:r>
            <w:r>
              <w:rPr>
                <w:rFonts w:cstheme="minorHAnsi"/>
                <w:b/>
                <w:bCs/>
                <w:i/>
                <w:iCs/>
                <w:color w:val="000000"/>
                <w:sz w:val="16"/>
                <w:szCs w:val="16"/>
                <w:lang w:val="en-US"/>
              </w:rPr>
              <w:t xml:space="preserve"> Euractiv.com  COVID-19 isolation could create ‘fertile ground for domestic violence’</w:t>
            </w:r>
          </w:p>
        </w:tc>
      </w:tr>
    </w:tbl>
    <w:p w:rsidR="006E2B1C" w:rsidRPr="00334D2D" w:rsidRDefault="00FF0BB4" w:rsidP="00334D2D">
      <w:pPr>
        <w:rPr>
          <w:rFonts w:cstheme="majorHAnsi"/>
          <w:color w:val="000000"/>
          <w:sz w:val="22"/>
          <w:szCs w:val="22"/>
          <w:lang w:val="en-US"/>
        </w:rPr>
      </w:pPr>
    </w:p>
    <w:sectPr w:rsidR="006E2B1C" w:rsidRPr="00334D2D" w:rsidSect="00334D2D">
      <w:footerReference w:type="default" r:id="rId9"/>
      <w:pgSz w:w="11900" w:h="16840"/>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0BB4" w:rsidRDefault="00FF0BB4" w:rsidP="00334D2D">
      <w:r>
        <w:separator/>
      </w:r>
    </w:p>
  </w:endnote>
  <w:endnote w:type="continuationSeparator" w:id="0">
    <w:p w:rsidR="00FF0BB4" w:rsidRDefault="00FF0BB4" w:rsidP="0033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etaOffcPro-Norm">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4D2D" w:rsidRPr="00C57554" w:rsidRDefault="00334D2D" w:rsidP="00334D2D">
    <w:pPr>
      <w:pStyle w:val="Voettekst"/>
      <w:jc w:val="center"/>
      <w:rPr>
        <w:sz w:val="18"/>
        <w:szCs w:val="18"/>
        <w:lang w:val="en-US"/>
      </w:rPr>
    </w:pPr>
    <w:r w:rsidRPr="00C57554">
      <w:rPr>
        <w:sz w:val="18"/>
        <w:szCs w:val="18"/>
        <w:lang w:val="en-US"/>
      </w:rPr>
      <w:t>European Family Justice Center Alliance</w:t>
    </w:r>
  </w:p>
  <w:p w:rsidR="00334D2D" w:rsidRPr="00C57554" w:rsidRDefault="00334D2D" w:rsidP="00334D2D">
    <w:pPr>
      <w:pStyle w:val="Voettekst"/>
      <w:jc w:val="center"/>
      <w:rPr>
        <w:sz w:val="18"/>
        <w:szCs w:val="18"/>
        <w:lang w:val="en-US"/>
      </w:rPr>
    </w:pPr>
    <w:r w:rsidRPr="00C57554">
      <w:rPr>
        <w:sz w:val="18"/>
        <w:szCs w:val="18"/>
        <w:lang w:val="en-US"/>
      </w:rPr>
      <w:t>Boomkensdiep 27, 8032 XZ Zwolle, The Netherlands</w:t>
    </w:r>
  </w:p>
  <w:p w:rsidR="00334D2D" w:rsidRPr="00C57554" w:rsidRDefault="00334D2D" w:rsidP="00334D2D">
    <w:pPr>
      <w:pStyle w:val="Voettekst"/>
      <w:jc w:val="center"/>
      <w:rPr>
        <w:sz w:val="18"/>
        <w:szCs w:val="18"/>
        <w:lang w:val="en-US"/>
      </w:rPr>
    </w:pPr>
    <w:r w:rsidRPr="00C57554">
      <w:rPr>
        <w:sz w:val="18"/>
        <w:szCs w:val="18"/>
        <w:lang w:val="en-US"/>
      </w:rPr>
      <w:t xml:space="preserve">Chamber of Commerce </w:t>
    </w:r>
    <w:r w:rsidRPr="00C57554">
      <w:rPr>
        <w:rFonts w:cs="MetaOffcPro-Norm"/>
        <w:sz w:val="18"/>
        <w:szCs w:val="18"/>
        <w:lang w:val="en-US"/>
      </w:rPr>
      <w:t xml:space="preserve">61486973 – </w:t>
    </w:r>
    <w:hyperlink r:id="rId1" w:history="1">
      <w:r w:rsidRPr="00C57554">
        <w:rPr>
          <w:sz w:val="18"/>
          <w:szCs w:val="18"/>
          <w:lang w:val="en-US"/>
        </w:rPr>
        <w:t>www.efjca.eu</w:t>
      </w:r>
    </w:hyperlink>
    <w:r w:rsidRPr="00C57554">
      <w:rPr>
        <w:rFonts w:cs="MetaOffcPro-Norm"/>
        <w:sz w:val="18"/>
        <w:szCs w:val="18"/>
        <w:lang w:val="en-US"/>
      </w:rPr>
      <w:t xml:space="preserve"> – </w:t>
    </w:r>
    <w:r w:rsidRPr="00C57554">
      <w:rPr>
        <w:sz w:val="18"/>
        <w:szCs w:val="18"/>
        <w:lang w:val="en-US"/>
      </w:rPr>
      <w:t>IBAN NL30 INGB 0006 7136 26</w:t>
    </w:r>
  </w:p>
  <w:p w:rsidR="00334D2D" w:rsidRPr="00334D2D" w:rsidRDefault="00334D2D" w:rsidP="00334D2D">
    <w:pPr>
      <w:pStyle w:val="Voettekst"/>
      <w:jc w:val="center"/>
      <w:rPr>
        <w:sz w:val="18"/>
        <w:szCs w:val="18"/>
        <w:lang w:val="fr-BE"/>
      </w:rPr>
    </w:pPr>
    <w:r>
      <w:rPr>
        <w:sz w:val="18"/>
        <w:szCs w:val="18"/>
        <w:lang w:val="fr-BE"/>
      </w:rPr>
      <w:t>info</w:t>
    </w:r>
    <w:r w:rsidRPr="00C57554">
      <w:rPr>
        <w:sz w:val="18"/>
        <w:szCs w:val="18"/>
        <w:lang w:val="fr-BE"/>
      </w:rPr>
      <w:t>@efjca.eu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0BB4" w:rsidRDefault="00FF0BB4" w:rsidP="00334D2D">
      <w:r>
        <w:separator/>
      </w:r>
    </w:p>
  </w:footnote>
  <w:footnote w:type="continuationSeparator" w:id="0">
    <w:p w:rsidR="00FF0BB4" w:rsidRDefault="00FF0BB4" w:rsidP="00334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9438A"/>
    <w:multiLevelType w:val="hybridMultilevel"/>
    <w:tmpl w:val="AE94FB26"/>
    <w:lvl w:ilvl="0" w:tplc="08130005">
      <w:start w:val="1"/>
      <w:numFmt w:val="bullet"/>
      <w:lvlText w:val=""/>
      <w:lvlJc w:val="left"/>
      <w:pPr>
        <w:ind w:left="76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DBB4080"/>
    <w:multiLevelType w:val="hybridMultilevel"/>
    <w:tmpl w:val="6D1C2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2D"/>
    <w:rsid w:val="00222826"/>
    <w:rsid w:val="0029529A"/>
    <w:rsid w:val="00334D2D"/>
    <w:rsid w:val="00555532"/>
    <w:rsid w:val="005E4347"/>
    <w:rsid w:val="00A3065C"/>
    <w:rsid w:val="00C05A49"/>
    <w:rsid w:val="00FE1C93"/>
    <w:rsid w:val="00FF0B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B6209AE"/>
  <w15:chartTrackingRefBased/>
  <w15:docId w15:val="{3DF7F89B-7E07-C047-81D2-ED649712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4D2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4D2D"/>
    <w:pPr>
      <w:spacing w:before="100" w:beforeAutospacing="1" w:after="100" w:afterAutospacing="1"/>
    </w:pPr>
    <w:rPr>
      <w:rFonts w:ascii="Times New Roman" w:eastAsia="Times New Roman" w:hAnsi="Times New Roman" w:cs="Times New Roman"/>
      <w:lang w:val="nl-BE" w:eastAsia="nl-NL"/>
    </w:rPr>
  </w:style>
  <w:style w:type="paragraph" w:styleId="Koptekst">
    <w:name w:val="header"/>
    <w:basedOn w:val="Standaard"/>
    <w:link w:val="KoptekstChar"/>
    <w:uiPriority w:val="99"/>
    <w:unhideWhenUsed/>
    <w:rsid w:val="00334D2D"/>
    <w:pPr>
      <w:tabs>
        <w:tab w:val="center" w:pos="4536"/>
        <w:tab w:val="right" w:pos="9072"/>
      </w:tabs>
    </w:pPr>
  </w:style>
  <w:style w:type="character" w:customStyle="1" w:styleId="KoptekstChar">
    <w:name w:val="Koptekst Char"/>
    <w:basedOn w:val="Standaardalinea-lettertype"/>
    <w:link w:val="Koptekst"/>
    <w:uiPriority w:val="99"/>
    <w:rsid w:val="00334D2D"/>
  </w:style>
  <w:style w:type="paragraph" w:styleId="Voettekst">
    <w:name w:val="footer"/>
    <w:basedOn w:val="Standaard"/>
    <w:link w:val="VoettekstChar"/>
    <w:uiPriority w:val="99"/>
    <w:unhideWhenUsed/>
    <w:rsid w:val="00334D2D"/>
    <w:pPr>
      <w:tabs>
        <w:tab w:val="center" w:pos="4536"/>
        <w:tab w:val="right" w:pos="9072"/>
      </w:tabs>
    </w:pPr>
  </w:style>
  <w:style w:type="character" w:customStyle="1" w:styleId="VoettekstChar">
    <w:name w:val="Voettekst Char"/>
    <w:basedOn w:val="Standaardalinea-lettertype"/>
    <w:link w:val="Voettekst"/>
    <w:uiPriority w:val="99"/>
    <w:rsid w:val="00334D2D"/>
  </w:style>
  <w:style w:type="table" w:styleId="Tabelraster">
    <w:name w:val="Table Grid"/>
    <w:basedOn w:val="Standaardtabel"/>
    <w:uiPriority w:val="39"/>
    <w:rsid w:val="00334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fjca.eu"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478</Words>
  <Characters>2629</Characters>
  <Application>Microsoft Office Word</Application>
  <DocSecurity>0</DocSecurity>
  <Lines>21</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Groen</dc:creator>
  <cp:keywords/>
  <dc:description/>
  <cp:lastModifiedBy>Bert Groen</cp:lastModifiedBy>
  <cp:revision>1</cp:revision>
  <dcterms:created xsi:type="dcterms:W3CDTF">2020-03-31T13:04:00Z</dcterms:created>
  <dcterms:modified xsi:type="dcterms:W3CDTF">2020-03-31T13:24:00Z</dcterms:modified>
</cp:coreProperties>
</file>