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2CDFA" w14:textId="77777777" w:rsidR="00CC198D" w:rsidRDefault="001B789E">
      <w:pPr>
        <w:spacing w:line="487" w:lineRule="exact"/>
        <w:ind w:left="1038"/>
        <w:rPr>
          <w:rFonts w:ascii="Calibri-Light"/>
          <w:sz w:val="40"/>
        </w:rPr>
      </w:pPr>
      <w:r>
        <w:rPr>
          <w:noProof/>
        </w:rPr>
        <mc:AlternateContent>
          <mc:Choice Requires="wps">
            <w:drawing>
              <wp:anchor distT="0" distB="0" distL="0" distR="0" simplePos="0" relativeHeight="251658240" behindDoc="1" locked="0" layoutInCell="1" allowOverlap="1" wp14:anchorId="6DD398F6" wp14:editId="699FF460">
                <wp:simplePos x="0" y="0"/>
                <wp:positionH relativeFrom="page">
                  <wp:posOffset>881380</wp:posOffset>
                </wp:positionH>
                <wp:positionV relativeFrom="paragraph">
                  <wp:posOffset>355600</wp:posOffset>
                </wp:positionV>
                <wp:extent cx="5798185" cy="1270"/>
                <wp:effectExtent l="0" t="0" r="5715"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8185" cy="1270"/>
                        </a:xfrm>
                        <a:custGeom>
                          <a:avLst/>
                          <a:gdLst>
                            <a:gd name="T0" fmla="+- 0 1388 1388"/>
                            <a:gd name="T1" fmla="*/ T0 w 9131"/>
                            <a:gd name="T2" fmla="+- 0 10519 1388"/>
                            <a:gd name="T3" fmla="*/ T2 w 9131"/>
                          </a:gdLst>
                          <a:ahLst/>
                          <a:cxnLst>
                            <a:cxn ang="0">
                              <a:pos x="T1" y="0"/>
                            </a:cxn>
                            <a:cxn ang="0">
                              <a:pos x="T3" y="0"/>
                            </a:cxn>
                          </a:cxnLst>
                          <a:rect l="0" t="0" r="r" b="b"/>
                          <a:pathLst>
                            <a:path w="9131">
                              <a:moveTo>
                                <a:pt x="0" y="0"/>
                              </a:moveTo>
                              <a:lnTo>
                                <a:pt x="9131"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15918" id="Freeform 5" o:spid="_x0000_s1026" style="position:absolute;margin-left:69.4pt;margin-top:28pt;width:456.5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31,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" path="m,l9131,e" filled="f" strokeweight="1.44pt">
                <v:path arrowok="t" o:connecttype="custom" o:connectlocs="0,0;5798185,0" o:connectangles="0,0"/>
                <w10:wrap type="topAndBottom" anchorx="page"/>
              </v:shape>
            </w:pict>
          </mc:Fallback>
        </mc:AlternateContent>
      </w:r>
      <w:r w:rsidR="00000000">
        <w:rPr>
          <w:rFonts w:ascii="Calibri-Light"/>
          <w:sz w:val="40"/>
        </w:rPr>
        <w:t>Declaration of honour for beneficiaries (DoH)</w:t>
      </w:r>
    </w:p>
    <w:p w14:paraId="3F04E442" w14:textId="77777777" w:rsidR="00CC198D" w:rsidRDefault="00CC198D">
      <w:pPr>
        <w:pStyle w:val="Plattetekst"/>
        <w:spacing w:before="7"/>
        <w:rPr>
          <w:rFonts w:ascii="Calibri-Light"/>
          <w:sz w:val="5"/>
        </w:rPr>
      </w:pPr>
    </w:p>
    <w:p w14:paraId="39B59C28" w14:textId="77777777" w:rsidR="00CC198D" w:rsidRDefault="00000000">
      <w:pPr>
        <w:pStyle w:val="Plattetekst"/>
        <w:spacing w:before="51"/>
        <w:ind w:left="136"/>
      </w:pPr>
      <w:r>
        <w:t>I, the undersigned, representing the following entity:</w:t>
      </w:r>
    </w:p>
    <w:p w14:paraId="07347EC1" w14:textId="77777777" w:rsidR="00CC198D" w:rsidRDefault="00CC198D">
      <w:pPr>
        <w:pStyle w:val="Plattetekst"/>
        <w:rPr>
          <w:sz w:val="20"/>
        </w:rPr>
      </w:pPr>
    </w:p>
    <w:p w14:paraId="03EF6BE3" w14:textId="77777777" w:rsidR="00CC198D" w:rsidRDefault="001B789E">
      <w:pPr>
        <w:pStyle w:val="Plattetekst"/>
        <w:spacing w:before="2"/>
        <w:rPr>
          <w:sz w:val="15"/>
        </w:rPr>
      </w:pPr>
      <w:r>
        <w:rPr>
          <w:noProof/>
        </w:rPr>
        <mc:AlternateContent>
          <mc:Choice Requires="wps">
            <w:drawing>
              <wp:anchor distT="0" distB="0" distL="0" distR="0" simplePos="0" relativeHeight="251659264" behindDoc="1" locked="0" layoutInCell="1" allowOverlap="1" wp14:anchorId="386EED01" wp14:editId="128708F2">
                <wp:simplePos x="0" y="0"/>
                <wp:positionH relativeFrom="page">
                  <wp:posOffset>899795</wp:posOffset>
                </wp:positionH>
                <wp:positionV relativeFrom="paragraph">
                  <wp:posOffset>147955</wp:posOffset>
                </wp:positionV>
                <wp:extent cx="3835400" cy="937895"/>
                <wp:effectExtent l="0" t="0" r="0" b="1905"/>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35400" cy="9378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19CA352" w14:textId="77777777" w:rsidR="00CC198D" w:rsidRDefault="00000000">
                            <w:pPr>
                              <w:pStyle w:val="Plattetekst"/>
                              <w:spacing w:before="70"/>
                              <w:ind w:left="1357"/>
                            </w:pPr>
                            <w:r>
                              <w:t>|Organisation name and address|</w:t>
                            </w:r>
                          </w:p>
                          <w:p w14:paraId="76ACCAEC" w14:textId="77777777" w:rsidR="001B789E" w:rsidRDefault="001B789E">
                            <w:pPr>
                              <w:pStyle w:val="Plattetekst"/>
                              <w:spacing w:before="70"/>
                              <w:ind w:left="1357"/>
                            </w:pPr>
                          </w:p>
                          <w:p w14:paraId="1AE7D3C5" w14:textId="77777777" w:rsidR="001B789E" w:rsidRDefault="001B789E">
                            <w:pPr>
                              <w:pStyle w:val="Plattetekst"/>
                              <w:spacing w:before="70"/>
                              <w:ind w:left="1357"/>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6EED01" id="_x0000_t202" coordsize="21600,21600" o:spt="202" path="m,l,21600r21600,l21600,xe">
                <v:stroke joinstyle="miter"/>
                <v:path gradientshapeok="t" o:connecttype="rect"/>
              </v:shapetype>
              <v:shape id="Text Box 4" o:spid="_x0000_s1026" type="#_x0000_t202" style="position:absolute;margin-left:70.85pt;margin-top:11.65pt;width:302pt;height:73.8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" filled="f">
                <v:path arrowok="t"/>
                <v:textbox inset="0,0,0,0">
                  <w:txbxContent>
                    <w:p w14:paraId="319CA352" w14:textId="77777777" w:rsidR="00CC198D" w:rsidRDefault="00000000">
                      <w:pPr>
                        <w:pStyle w:val="Plattetekst"/>
                        <w:spacing w:before="70"/>
                        <w:ind w:left="1357"/>
                      </w:pPr>
                      <w:r>
                        <w:t>|Organisation name and address|</w:t>
                      </w:r>
                    </w:p>
                    <w:p w14:paraId="76ACCAEC" w14:textId="77777777" w:rsidR="001B789E" w:rsidRDefault="001B789E">
                      <w:pPr>
                        <w:pStyle w:val="Plattetekst"/>
                        <w:spacing w:before="70"/>
                        <w:ind w:left="1357"/>
                      </w:pPr>
                    </w:p>
                    <w:p w14:paraId="1AE7D3C5" w14:textId="77777777" w:rsidR="001B789E" w:rsidRDefault="001B789E">
                      <w:pPr>
                        <w:pStyle w:val="Plattetekst"/>
                        <w:spacing w:before="70"/>
                        <w:ind w:left="1357"/>
                      </w:pPr>
                    </w:p>
                  </w:txbxContent>
                </v:textbox>
                <w10:wrap type="topAndBottom" anchorx="page"/>
              </v:shape>
            </w:pict>
          </mc:Fallback>
        </mc:AlternateContent>
      </w:r>
    </w:p>
    <w:p w14:paraId="130A98AB" w14:textId="77777777" w:rsidR="00CC198D" w:rsidRDefault="00000000">
      <w:pPr>
        <w:spacing w:before="97"/>
        <w:ind w:left="136"/>
        <w:rPr>
          <w:sz w:val="24"/>
        </w:rPr>
      </w:pPr>
      <w:r>
        <w:rPr>
          <w:b/>
          <w:sz w:val="24"/>
        </w:rPr>
        <w:t xml:space="preserve">hereby certify that </w:t>
      </w:r>
      <w:r>
        <w:rPr>
          <w:sz w:val="24"/>
        </w:rPr>
        <w:t>(subject to the additional declarations below):</w:t>
      </w:r>
    </w:p>
    <w:p w14:paraId="188F8A40" w14:textId="77777777" w:rsidR="00CC198D" w:rsidRDefault="00000000">
      <w:pPr>
        <w:pStyle w:val="Lijstalinea"/>
        <w:numPr>
          <w:ilvl w:val="0"/>
          <w:numId w:val="1"/>
        </w:numPr>
        <w:tabs>
          <w:tab w:val="left" w:pos="857"/>
        </w:tabs>
        <w:spacing w:before="185"/>
        <w:ind w:right="143"/>
        <w:rPr>
          <w:sz w:val="24"/>
        </w:rPr>
      </w:pPr>
      <w:r>
        <w:rPr>
          <w:sz w:val="24"/>
        </w:rPr>
        <w:t>The information provided in the application for EFJCA Grants to support and develop multidisciplinary centers on GBV and DV 2023 is correct and</w:t>
      </w:r>
      <w:r>
        <w:rPr>
          <w:spacing w:val="-3"/>
          <w:sz w:val="24"/>
        </w:rPr>
        <w:t xml:space="preserve"> </w:t>
      </w:r>
      <w:r>
        <w:rPr>
          <w:sz w:val="24"/>
        </w:rPr>
        <w:t>complete.</w:t>
      </w:r>
    </w:p>
    <w:p w14:paraId="55B78095" w14:textId="77777777" w:rsidR="00CC198D" w:rsidRDefault="00000000">
      <w:pPr>
        <w:pStyle w:val="Lijstalinea"/>
        <w:numPr>
          <w:ilvl w:val="0"/>
          <w:numId w:val="1"/>
        </w:numPr>
        <w:tabs>
          <w:tab w:val="left" w:pos="857"/>
        </w:tabs>
        <w:ind w:right="445"/>
        <w:rPr>
          <w:sz w:val="24"/>
        </w:rPr>
      </w:pPr>
      <w:r>
        <w:rPr>
          <w:sz w:val="24"/>
        </w:rPr>
        <w:t>My organisation commits to comply</w:t>
      </w:r>
      <w:r>
        <w:rPr>
          <w:position w:val="8"/>
          <w:sz w:val="16"/>
        </w:rPr>
        <w:t xml:space="preserve">1 </w:t>
      </w:r>
      <w:r>
        <w:rPr>
          <w:sz w:val="24"/>
        </w:rPr>
        <w:t>with the eligibility criteria and all other conditions set out in the call for proposals — for the entire duration of the</w:t>
      </w:r>
      <w:r>
        <w:rPr>
          <w:spacing w:val="-31"/>
          <w:sz w:val="24"/>
        </w:rPr>
        <w:t xml:space="preserve"> </w:t>
      </w:r>
      <w:r>
        <w:rPr>
          <w:sz w:val="24"/>
        </w:rPr>
        <w:t>action.</w:t>
      </w:r>
    </w:p>
    <w:p w14:paraId="7BCCAAF8" w14:textId="77777777" w:rsidR="00CC198D" w:rsidRDefault="00000000">
      <w:pPr>
        <w:pStyle w:val="Lijstalinea"/>
        <w:numPr>
          <w:ilvl w:val="0"/>
          <w:numId w:val="1"/>
        </w:numPr>
        <w:tabs>
          <w:tab w:val="left" w:pos="857"/>
        </w:tabs>
        <w:spacing w:line="293" w:lineRule="exact"/>
        <w:ind w:hanging="362"/>
        <w:rPr>
          <w:sz w:val="24"/>
        </w:rPr>
      </w:pPr>
      <w:r>
        <w:rPr>
          <w:sz w:val="24"/>
        </w:rPr>
        <w:t>My</w:t>
      </w:r>
      <w:r>
        <w:rPr>
          <w:spacing w:val="-1"/>
          <w:sz w:val="24"/>
        </w:rPr>
        <w:t xml:space="preserve"> </w:t>
      </w:r>
      <w:r>
        <w:rPr>
          <w:sz w:val="24"/>
        </w:rPr>
        <w:t>organisation:</w:t>
      </w:r>
    </w:p>
    <w:p w14:paraId="75C7D9F0" w14:textId="77777777" w:rsidR="00CC198D" w:rsidRDefault="00000000">
      <w:pPr>
        <w:pStyle w:val="Lijstalinea"/>
        <w:numPr>
          <w:ilvl w:val="1"/>
          <w:numId w:val="1"/>
        </w:numPr>
        <w:tabs>
          <w:tab w:val="left" w:pos="1577"/>
        </w:tabs>
        <w:rPr>
          <w:sz w:val="24"/>
        </w:rPr>
      </w:pPr>
      <w:r>
        <w:rPr>
          <w:sz w:val="24"/>
        </w:rPr>
        <w:t>is committed to participating in the</w:t>
      </w:r>
      <w:r>
        <w:rPr>
          <w:spacing w:val="-2"/>
          <w:sz w:val="24"/>
        </w:rPr>
        <w:t xml:space="preserve"> </w:t>
      </w:r>
      <w:r>
        <w:rPr>
          <w:sz w:val="24"/>
        </w:rPr>
        <w:t>action,</w:t>
      </w:r>
    </w:p>
    <w:p w14:paraId="0F00B11F" w14:textId="77777777" w:rsidR="00CC198D" w:rsidRDefault="00000000">
      <w:pPr>
        <w:pStyle w:val="Lijstalinea"/>
        <w:numPr>
          <w:ilvl w:val="1"/>
          <w:numId w:val="1"/>
        </w:numPr>
        <w:tabs>
          <w:tab w:val="left" w:pos="1577"/>
        </w:tabs>
        <w:ind w:right="627" w:hanging="372"/>
        <w:rPr>
          <w:sz w:val="24"/>
        </w:rPr>
      </w:pPr>
      <w:r>
        <w:rPr>
          <w:sz w:val="24"/>
        </w:rPr>
        <w:t>has stable and sufficient sources of funding to maintain the activity throughout the checking action and to provide any co-funding</w:t>
      </w:r>
      <w:r>
        <w:rPr>
          <w:spacing w:val="-21"/>
          <w:sz w:val="24"/>
        </w:rPr>
        <w:t xml:space="preserve"> </w:t>
      </w:r>
      <w:r>
        <w:rPr>
          <w:sz w:val="24"/>
        </w:rPr>
        <w:t>necessary</w:t>
      </w:r>
    </w:p>
    <w:p w14:paraId="28979927" w14:textId="77777777" w:rsidR="00CC198D" w:rsidRDefault="00000000">
      <w:pPr>
        <w:pStyle w:val="Lijstalinea"/>
        <w:numPr>
          <w:ilvl w:val="1"/>
          <w:numId w:val="1"/>
        </w:numPr>
        <w:tabs>
          <w:tab w:val="left" w:pos="1577"/>
        </w:tabs>
        <w:spacing w:line="293" w:lineRule="exact"/>
        <w:ind w:hanging="348"/>
        <w:rPr>
          <w:sz w:val="24"/>
        </w:rPr>
      </w:pPr>
      <w:r>
        <w:rPr>
          <w:sz w:val="24"/>
        </w:rPr>
        <w:t>has or will have the necessary resources needed to implement the</w:t>
      </w:r>
      <w:r>
        <w:rPr>
          <w:spacing w:val="-20"/>
          <w:sz w:val="24"/>
        </w:rPr>
        <w:t xml:space="preserve"> </w:t>
      </w:r>
      <w:r>
        <w:rPr>
          <w:sz w:val="24"/>
        </w:rPr>
        <w:t>action</w:t>
      </w:r>
    </w:p>
    <w:p w14:paraId="5ADB2B0F" w14:textId="77777777" w:rsidR="00CC198D" w:rsidRDefault="00000000">
      <w:pPr>
        <w:pStyle w:val="Lijstalinea"/>
        <w:numPr>
          <w:ilvl w:val="1"/>
          <w:numId w:val="1"/>
        </w:numPr>
        <w:tabs>
          <w:tab w:val="left" w:pos="1577"/>
        </w:tabs>
        <w:ind w:right="1100" w:hanging="372"/>
        <w:rPr>
          <w:sz w:val="24"/>
        </w:rPr>
      </w:pPr>
      <w:r>
        <w:rPr>
          <w:sz w:val="24"/>
        </w:rPr>
        <w:t>acknowledges being fully responsible for its affiliated entities which participate in the</w:t>
      </w:r>
      <w:r>
        <w:rPr>
          <w:spacing w:val="-3"/>
          <w:sz w:val="24"/>
        </w:rPr>
        <w:t xml:space="preserve"> </w:t>
      </w:r>
      <w:r>
        <w:rPr>
          <w:sz w:val="24"/>
        </w:rPr>
        <w:t>action</w:t>
      </w:r>
    </w:p>
    <w:p w14:paraId="250FB9A4" w14:textId="77777777" w:rsidR="00CC198D" w:rsidRDefault="00000000">
      <w:pPr>
        <w:pStyle w:val="Lijstalinea"/>
        <w:numPr>
          <w:ilvl w:val="1"/>
          <w:numId w:val="1"/>
        </w:numPr>
        <w:tabs>
          <w:tab w:val="left" w:pos="1577"/>
        </w:tabs>
        <w:ind w:right="130" w:hanging="365"/>
        <w:rPr>
          <w:sz w:val="24"/>
        </w:rPr>
      </w:pPr>
      <w:r>
        <w:rPr>
          <w:sz w:val="24"/>
        </w:rPr>
        <w:t>for research actions: is committed to complying with the highest standards of ethical principles and research integrity and confirms that the work is free of plagiarism.</w:t>
      </w:r>
    </w:p>
    <w:p w14:paraId="67517E3A" w14:textId="77777777" w:rsidR="00CC198D" w:rsidRDefault="00000000">
      <w:pPr>
        <w:pStyle w:val="Lijstalinea"/>
        <w:numPr>
          <w:ilvl w:val="0"/>
          <w:numId w:val="1"/>
        </w:numPr>
        <w:tabs>
          <w:tab w:val="left" w:pos="857"/>
        </w:tabs>
        <w:ind w:right="535"/>
        <w:rPr>
          <w:sz w:val="24"/>
        </w:rPr>
      </w:pPr>
      <w:r>
        <w:rPr>
          <w:sz w:val="24"/>
        </w:rPr>
        <w:t>My organisation commits to ensuring that it will not undertake any actions that would put the reputation of either EFJCA or the European Commission at risk. To that end, it confirms that</w:t>
      </w:r>
      <w:r>
        <w:rPr>
          <w:spacing w:val="1"/>
          <w:sz w:val="24"/>
        </w:rPr>
        <w:t xml:space="preserve"> </w:t>
      </w:r>
      <w:r>
        <w:rPr>
          <w:sz w:val="24"/>
        </w:rPr>
        <w:t>it</w:t>
      </w:r>
    </w:p>
    <w:p w14:paraId="3C645302" w14:textId="77777777" w:rsidR="00CC198D" w:rsidRDefault="00000000">
      <w:pPr>
        <w:pStyle w:val="Lijstalinea"/>
        <w:numPr>
          <w:ilvl w:val="1"/>
          <w:numId w:val="1"/>
        </w:numPr>
        <w:tabs>
          <w:tab w:val="left" w:pos="1577"/>
        </w:tabs>
        <w:ind w:right="937"/>
        <w:rPr>
          <w:sz w:val="23"/>
        </w:rPr>
      </w:pPr>
      <w:r>
        <w:rPr>
          <w:sz w:val="24"/>
        </w:rPr>
        <w:t>Respects and adheres to EU values as laid out in</w:t>
      </w:r>
      <w:r>
        <w:rPr>
          <w:color w:val="0562C1"/>
          <w:sz w:val="24"/>
          <w:u w:val="single" w:color="0562C1"/>
        </w:rPr>
        <w:t xml:space="preserve"> </w:t>
      </w:r>
      <w:r>
        <w:rPr>
          <w:color w:val="0562C1"/>
          <w:sz w:val="23"/>
          <w:u w:val="single" w:color="0562C1"/>
        </w:rPr>
        <w:t>Art.2 of the Treaty on European Union</w:t>
      </w:r>
      <w:r>
        <w:rPr>
          <w:color w:val="0562C1"/>
          <w:sz w:val="23"/>
        </w:rPr>
        <w:t xml:space="preserve"> </w:t>
      </w:r>
      <w:r>
        <w:rPr>
          <w:sz w:val="23"/>
        </w:rPr>
        <w:t>and the</w:t>
      </w:r>
      <w:r>
        <w:rPr>
          <w:color w:val="0562C1"/>
          <w:sz w:val="23"/>
        </w:rPr>
        <w:t xml:space="preserve"> </w:t>
      </w:r>
      <w:r>
        <w:rPr>
          <w:color w:val="0562C1"/>
          <w:sz w:val="23"/>
          <w:u w:val="single" w:color="0562C1"/>
        </w:rPr>
        <w:t>EU Charter of Fundamental</w:t>
      </w:r>
      <w:r>
        <w:rPr>
          <w:color w:val="0562C1"/>
          <w:spacing w:val="-7"/>
          <w:sz w:val="23"/>
          <w:u w:val="single" w:color="0562C1"/>
        </w:rPr>
        <w:t xml:space="preserve"> </w:t>
      </w:r>
      <w:r>
        <w:rPr>
          <w:color w:val="0562C1"/>
          <w:sz w:val="23"/>
          <w:u w:val="single" w:color="0562C1"/>
        </w:rPr>
        <w:t>Rights</w:t>
      </w:r>
      <w:r>
        <w:rPr>
          <w:sz w:val="23"/>
        </w:rPr>
        <w:t>.</w:t>
      </w:r>
    </w:p>
    <w:p w14:paraId="6FD148B1" w14:textId="77777777" w:rsidR="00CC198D" w:rsidRDefault="00000000">
      <w:pPr>
        <w:pStyle w:val="Lijstalinea"/>
        <w:numPr>
          <w:ilvl w:val="1"/>
          <w:numId w:val="1"/>
        </w:numPr>
        <w:tabs>
          <w:tab w:val="left" w:pos="1577"/>
        </w:tabs>
        <w:ind w:hanging="373"/>
        <w:rPr>
          <w:sz w:val="24"/>
        </w:rPr>
      </w:pPr>
      <w:r>
        <w:rPr>
          <w:sz w:val="24"/>
        </w:rPr>
        <w:t>Will not promote or engage in activities contradictory to these</w:t>
      </w:r>
      <w:r>
        <w:rPr>
          <w:spacing w:val="-6"/>
          <w:sz w:val="24"/>
        </w:rPr>
        <w:t xml:space="preserve"> </w:t>
      </w:r>
      <w:r>
        <w:rPr>
          <w:sz w:val="24"/>
        </w:rPr>
        <w:t>values.</w:t>
      </w:r>
    </w:p>
    <w:p w14:paraId="4ADEADC1" w14:textId="77777777" w:rsidR="00CC198D" w:rsidRDefault="00000000">
      <w:pPr>
        <w:pStyle w:val="Lijstalinea"/>
        <w:numPr>
          <w:ilvl w:val="0"/>
          <w:numId w:val="1"/>
        </w:numPr>
        <w:tabs>
          <w:tab w:val="left" w:pos="857"/>
        </w:tabs>
        <w:ind w:hanging="362"/>
        <w:rPr>
          <w:sz w:val="24"/>
        </w:rPr>
      </w:pPr>
      <w:r>
        <w:rPr>
          <w:sz w:val="24"/>
        </w:rPr>
        <w:t>My</w:t>
      </w:r>
      <w:r>
        <w:rPr>
          <w:spacing w:val="-1"/>
          <w:sz w:val="24"/>
        </w:rPr>
        <w:t xml:space="preserve"> </w:t>
      </w:r>
      <w:r>
        <w:rPr>
          <w:sz w:val="24"/>
        </w:rPr>
        <w:t>organisation:</w:t>
      </w:r>
    </w:p>
    <w:p w14:paraId="5BBC9DE7" w14:textId="77777777" w:rsidR="00CC198D" w:rsidRDefault="00000000">
      <w:pPr>
        <w:pStyle w:val="Lijstalinea"/>
        <w:numPr>
          <w:ilvl w:val="1"/>
          <w:numId w:val="1"/>
        </w:numPr>
        <w:tabs>
          <w:tab w:val="left" w:pos="1577"/>
        </w:tabs>
        <w:spacing w:line="291" w:lineRule="exact"/>
        <w:rPr>
          <w:sz w:val="24"/>
        </w:rPr>
      </w:pPr>
      <w:r>
        <w:rPr>
          <w:sz w:val="24"/>
        </w:rPr>
        <w:t xml:space="preserve">Is not in one of the following </w:t>
      </w:r>
      <w:r>
        <w:rPr>
          <w:b/>
          <w:sz w:val="24"/>
        </w:rPr>
        <w:t>exclusion</w:t>
      </w:r>
      <w:r>
        <w:rPr>
          <w:b/>
          <w:spacing w:val="-2"/>
          <w:sz w:val="24"/>
        </w:rPr>
        <w:t xml:space="preserve"> </w:t>
      </w:r>
      <w:r>
        <w:rPr>
          <w:b/>
          <w:sz w:val="24"/>
        </w:rPr>
        <w:t>situations</w:t>
      </w:r>
      <w:r>
        <w:rPr>
          <w:sz w:val="24"/>
        </w:rPr>
        <w:t>:</w:t>
      </w:r>
    </w:p>
    <w:p w14:paraId="6E028A1F" w14:textId="77777777" w:rsidR="00CC198D" w:rsidRDefault="00000000">
      <w:pPr>
        <w:pStyle w:val="Lijstalinea"/>
        <w:numPr>
          <w:ilvl w:val="2"/>
          <w:numId w:val="1"/>
        </w:numPr>
        <w:tabs>
          <w:tab w:val="left" w:pos="2297"/>
        </w:tabs>
        <w:ind w:right="355"/>
        <w:jc w:val="left"/>
        <w:rPr>
          <w:sz w:val="24"/>
        </w:rPr>
      </w:pPr>
      <w:r>
        <w:rPr>
          <w:sz w:val="24"/>
        </w:rPr>
        <w:t>Bankruptcy, winding up</w:t>
      </w:r>
      <w:r>
        <w:rPr>
          <w:position w:val="8"/>
          <w:sz w:val="16"/>
        </w:rPr>
        <w:t>2</w:t>
      </w:r>
      <w:r>
        <w:rPr>
          <w:sz w:val="24"/>
        </w:rPr>
        <w:t>, affairs administered by the courts, arrangement with creditors, suspended business activities or other similar</w:t>
      </w:r>
      <w:r>
        <w:rPr>
          <w:spacing w:val="-6"/>
          <w:sz w:val="24"/>
        </w:rPr>
        <w:t xml:space="preserve"> </w:t>
      </w:r>
      <w:r>
        <w:rPr>
          <w:sz w:val="24"/>
        </w:rPr>
        <w:t>procedures</w:t>
      </w:r>
      <w:r>
        <w:rPr>
          <w:spacing w:val="-6"/>
          <w:sz w:val="24"/>
        </w:rPr>
        <w:t xml:space="preserve"> </w:t>
      </w:r>
      <w:r>
        <w:rPr>
          <w:sz w:val="24"/>
        </w:rPr>
        <w:t>(including</w:t>
      </w:r>
      <w:r>
        <w:rPr>
          <w:spacing w:val="-8"/>
          <w:sz w:val="24"/>
        </w:rPr>
        <w:t xml:space="preserve"> </w:t>
      </w:r>
      <w:r>
        <w:rPr>
          <w:sz w:val="24"/>
        </w:rPr>
        <w:t>procedures</w:t>
      </w:r>
      <w:r>
        <w:rPr>
          <w:spacing w:val="-9"/>
          <w:sz w:val="24"/>
        </w:rPr>
        <w:t xml:space="preserve"> </w:t>
      </w:r>
      <w:r>
        <w:rPr>
          <w:sz w:val="24"/>
        </w:rPr>
        <w:t>for</w:t>
      </w:r>
      <w:r>
        <w:rPr>
          <w:spacing w:val="-7"/>
          <w:sz w:val="24"/>
        </w:rPr>
        <w:t xml:space="preserve"> </w:t>
      </w:r>
      <w:r>
        <w:rPr>
          <w:sz w:val="24"/>
        </w:rPr>
        <w:t>persons</w:t>
      </w:r>
      <w:r>
        <w:rPr>
          <w:spacing w:val="-8"/>
          <w:sz w:val="24"/>
        </w:rPr>
        <w:t xml:space="preserve"> </w:t>
      </w:r>
      <w:r>
        <w:rPr>
          <w:sz w:val="24"/>
        </w:rPr>
        <w:t>with</w:t>
      </w:r>
      <w:r>
        <w:rPr>
          <w:spacing w:val="-5"/>
          <w:sz w:val="24"/>
        </w:rPr>
        <w:t xml:space="preserve"> </w:t>
      </w:r>
      <w:r>
        <w:rPr>
          <w:sz w:val="24"/>
        </w:rPr>
        <w:t>unlimited liability for the applicant’s</w:t>
      </w:r>
      <w:r>
        <w:rPr>
          <w:spacing w:val="-4"/>
          <w:sz w:val="24"/>
        </w:rPr>
        <w:t xml:space="preserve"> </w:t>
      </w:r>
      <w:r>
        <w:rPr>
          <w:sz w:val="24"/>
        </w:rPr>
        <w:t>debts),</w:t>
      </w:r>
    </w:p>
    <w:p w14:paraId="7279B3FB" w14:textId="77777777" w:rsidR="00CC198D" w:rsidRDefault="00000000">
      <w:pPr>
        <w:pStyle w:val="Lijstalinea"/>
        <w:numPr>
          <w:ilvl w:val="2"/>
          <w:numId w:val="1"/>
        </w:numPr>
        <w:tabs>
          <w:tab w:val="left" w:pos="2297"/>
        </w:tabs>
        <w:ind w:hanging="351"/>
        <w:jc w:val="left"/>
        <w:rPr>
          <w:sz w:val="24"/>
        </w:rPr>
      </w:pPr>
      <w:r>
        <w:rPr>
          <w:sz w:val="24"/>
        </w:rPr>
        <w:t>In breach of social security or tax obligations (including if done</w:t>
      </w:r>
      <w:r>
        <w:rPr>
          <w:spacing w:val="-28"/>
          <w:sz w:val="24"/>
        </w:rPr>
        <w:t xml:space="preserve"> </w:t>
      </w:r>
      <w:r>
        <w:rPr>
          <w:sz w:val="24"/>
        </w:rPr>
        <w:t>by</w:t>
      </w:r>
    </w:p>
    <w:p w14:paraId="41FA939A" w14:textId="77777777" w:rsidR="00CC198D" w:rsidRDefault="00000000">
      <w:pPr>
        <w:pStyle w:val="Plattetekst"/>
        <w:ind w:left="2296"/>
      </w:pPr>
      <w:r>
        <w:t>persons with unlimited liability for the applicant’s debts),</w:t>
      </w:r>
    </w:p>
    <w:p w14:paraId="44FD58AE" w14:textId="77777777" w:rsidR="00CC198D" w:rsidRDefault="00CC198D">
      <w:pPr>
        <w:pStyle w:val="Plattetekst"/>
        <w:rPr>
          <w:sz w:val="20"/>
        </w:rPr>
      </w:pPr>
    </w:p>
    <w:p w14:paraId="463FEDF7" w14:textId="77777777" w:rsidR="00CC198D" w:rsidRDefault="00CC198D">
      <w:pPr>
        <w:pStyle w:val="Plattetekst"/>
        <w:rPr>
          <w:sz w:val="20"/>
        </w:rPr>
      </w:pPr>
    </w:p>
    <w:p w14:paraId="1D990602" w14:textId="77777777" w:rsidR="00CC198D" w:rsidRDefault="00CC198D">
      <w:pPr>
        <w:pStyle w:val="Plattetekst"/>
        <w:rPr>
          <w:sz w:val="20"/>
        </w:rPr>
      </w:pPr>
    </w:p>
    <w:p w14:paraId="12883613" w14:textId="77777777" w:rsidR="00CC198D" w:rsidRDefault="001B789E">
      <w:pPr>
        <w:pStyle w:val="Plattetekst"/>
        <w:spacing w:before="5"/>
        <w:rPr>
          <w:sz w:val="11"/>
        </w:rPr>
      </w:pPr>
      <w:r>
        <w:rPr>
          <w:noProof/>
        </w:rPr>
        <mc:AlternateContent>
          <mc:Choice Requires="wps">
            <w:drawing>
              <wp:anchor distT="0" distB="0" distL="0" distR="0" simplePos="0" relativeHeight="251660288" behindDoc="1" locked="0" layoutInCell="1" allowOverlap="1" wp14:anchorId="616EEDA0" wp14:editId="779EF86D">
                <wp:simplePos x="0" y="0"/>
                <wp:positionH relativeFrom="page">
                  <wp:posOffset>899160</wp:posOffset>
                </wp:positionH>
                <wp:positionV relativeFrom="paragraph">
                  <wp:posOffset>118745</wp:posOffset>
                </wp:positionV>
                <wp:extent cx="182943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416 1416"/>
                            <a:gd name="T1" fmla="*/ T0 w 2881"/>
                            <a:gd name="T2" fmla="+- 0 4297 1416"/>
                            <a:gd name="T3" fmla="*/ T2 w 2881"/>
                          </a:gdLst>
                          <a:ahLst/>
                          <a:cxnLst>
                            <a:cxn ang="0">
                              <a:pos x="T1" y="0"/>
                            </a:cxn>
                            <a:cxn ang="0">
                              <a:pos x="T3" y="0"/>
                            </a:cxn>
                          </a:cxnLst>
                          <a:rect l="0" t="0" r="r" b="b"/>
                          <a:pathLst>
                            <a:path w="2881">
                              <a:moveTo>
                                <a:pt x="0" y="0"/>
                              </a:moveTo>
                              <a:lnTo>
                                <a:pt x="2881" y="0"/>
                              </a:lnTo>
                            </a:path>
                          </a:pathLst>
                        </a:custGeom>
                        <a:noFill/>
                        <a:ln w="1066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A7E81" id="Freeform 3" o:spid="_x0000_s1026" style="position:absolute;margin-left:70.8pt;margin-top:9.35pt;width:144.0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" path="m,l2881,e" filled="f" strokeweight=".84pt">
                <v:path arrowok="t" o:connecttype="custom" o:connectlocs="0,0;1829435,0" o:connectangles="0,0"/>
                <w10:wrap type="topAndBottom" anchorx="page"/>
              </v:shape>
            </w:pict>
          </mc:Fallback>
        </mc:AlternateContent>
      </w:r>
    </w:p>
    <w:p w14:paraId="0E8F24FD" w14:textId="77777777" w:rsidR="00CC198D" w:rsidRDefault="00000000">
      <w:pPr>
        <w:spacing w:before="76" w:line="246" w:lineRule="exact"/>
        <w:ind w:left="136"/>
        <w:rPr>
          <w:sz w:val="20"/>
        </w:rPr>
      </w:pPr>
      <w:r>
        <w:rPr>
          <w:position w:val="7"/>
          <w:sz w:val="13"/>
        </w:rPr>
        <w:t xml:space="preserve">1 </w:t>
      </w:r>
      <w:r>
        <w:rPr>
          <w:rFonts w:ascii="Times New Roman" w:hAnsi="Times New Roman"/>
          <w:sz w:val="20"/>
        </w:rPr>
        <w:t>‘</w:t>
      </w:r>
      <w:r>
        <w:rPr>
          <w:sz w:val="20"/>
        </w:rPr>
        <w:t>Commit to comply’ means complying now and for the duration of the grant.</w:t>
      </w:r>
    </w:p>
    <w:p w14:paraId="248AA639" w14:textId="77777777" w:rsidR="00CC198D" w:rsidRDefault="00000000">
      <w:pPr>
        <w:ind w:left="136" w:right="422"/>
        <w:rPr>
          <w:sz w:val="20"/>
        </w:rPr>
      </w:pPr>
      <w:r>
        <w:rPr>
          <w:position w:val="7"/>
          <w:sz w:val="13"/>
        </w:rPr>
        <w:t xml:space="preserve">2 </w:t>
      </w:r>
      <w:r>
        <w:rPr>
          <w:sz w:val="20"/>
        </w:rPr>
        <w:t>Closing the operations of a business, selling off assets, paying off creditors, and distributing any remaining assets to the owners.</w:t>
      </w:r>
    </w:p>
    <w:p w14:paraId="7617A7E7" w14:textId="77777777" w:rsidR="00CC198D" w:rsidRDefault="00000000">
      <w:pPr>
        <w:pStyle w:val="Plattetekst"/>
        <w:spacing w:line="291" w:lineRule="exact"/>
        <w:ind w:left="76"/>
        <w:jc w:val="center"/>
      </w:pPr>
      <w:r>
        <w:t>1</w:t>
      </w:r>
    </w:p>
    <w:p w14:paraId="049148E6" w14:textId="77777777" w:rsidR="00CC198D" w:rsidRDefault="00CC198D">
      <w:pPr>
        <w:spacing w:line="291" w:lineRule="exact"/>
        <w:jc w:val="center"/>
        <w:sectPr w:rsidR="00CC198D">
          <w:type w:val="continuous"/>
          <w:pgSz w:w="11910" w:h="16840"/>
          <w:pgMar w:top="1400" w:right="1360" w:bottom="280" w:left="1280" w:header="708" w:footer="708" w:gutter="0"/>
          <w:cols w:space="708"/>
        </w:sectPr>
      </w:pPr>
    </w:p>
    <w:p w14:paraId="54A65C52" w14:textId="77777777" w:rsidR="00CC198D" w:rsidRDefault="00000000">
      <w:pPr>
        <w:pStyle w:val="Lijstalinea"/>
        <w:numPr>
          <w:ilvl w:val="2"/>
          <w:numId w:val="1"/>
        </w:numPr>
        <w:tabs>
          <w:tab w:val="left" w:pos="2297"/>
        </w:tabs>
        <w:spacing w:before="54"/>
        <w:ind w:right="168" w:hanging="406"/>
        <w:jc w:val="left"/>
        <w:rPr>
          <w:sz w:val="24"/>
        </w:rPr>
      </w:pPr>
      <w:r>
        <w:rPr>
          <w:sz w:val="24"/>
        </w:rPr>
        <w:lastRenderedPageBreak/>
        <w:t>Guilty of grave professional misconduct</w:t>
      </w:r>
      <w:r>
        <w:rPr>
          <w:position w:val="8"/>
          <w:sz w:val="16"/>
        </w:rPr>
        <w:t xml:space="preserve">3 </w:t>
      </w:r>
      <w:r>
        <w:rPr>
          <w:sz w:val="24"/>
        </w:rPr>
        <w:t>(including if done by persons having powers of representation, decision-making or control, beneficial owners or persons who are essential for the award/implementation of the</w:t>
      </w:r>
      <w:r>
        <w:rPr>
          <w:spacing w:val="1"/>
          <w:sz w:val="24"/>
        </w:rPr>
        <w:t xml:space="preserve"> </w:t>
      </w:r>
      <w:r>
        <w:rPr>
          <w:sz w:val="24"/>
        </w:rPr>
        <w:t>grant),</w:t>
      </w:r>
    </w:p>
    <w:p w14:paraId="0D309B8C" w14:textId="77777777" w:rsidR="00CC198D" w:rsidRDefault="00000000">
      <w:pPr>
        <w:pStyle w:val="Lijstalinea"/>
        <w:numPr>
          <w:ilvl w:val="2"/>
          <w:numId w:val="1"/>
        </w:numPr>
        <w:tabs>
          <w:tab w:val="left" w:pos="2297"/>
        </w:tabs>
        <w:ind w:right="101" w:hanging="404"/>
        <w:jc w:val="left"/>
        <w:rPr>
          <w:sz w:val="24"/>
        </w:rPr>
      </w:pPr>
      <w:r>
        <w:rPr>
          <w:sz w:val="24"/>
        </w:rPr>
        <w:t>Committed fraud, corruption, links to a criminal organisation, money laundering, terrorism-related crimes (including terrorism financing), child labour or human trafficking (including if done by persons having powers of representation, decision-making or control, beneficial owners or persons who are essential for the award/implementation of the</w:t>
      </w:r>
      <w:r>
        <w:rPr>
          <w:spacing w:val="-3"/>
          <w:sz w:val="24"/>
        </w:rPr>
        <w:t xml:space="preserve"> </w:t>
      </w:r>
      <w:r>
        <w:rPr>
          <w:sz w:val="24"/>
        </w:rPr>
        <w:t>grant),</w:t>
      </w:r>
    </w:p>
    <w:p w14:paraId="1CCBF09A" w14:textId="77777777" w:rsidR="00CC198D" w:rsidRDefault="00000000">
      <w:pPr>
        <w:pStyle w:val="Lijstalinea"/>
        <w:numPr>
          <w:ilvl w:val="2"/>
          <w:numId w:val="1"/>
        </w:numPr>
        <w:tabs>
          <w:tab w:val="left" w:pos="2297"/>
        </w:tabs>
        <w:ind w:right="461" w:hanging="348"/>
        <w:jc w:val="left"/>
        <w:rPr>
          <w:sz w:val="24"/>
        </w:rPr>
      </w:pPr>
      <w:r>
        <w:rPr>
          <w:sz w:val="24"/>
        </w:rPr>
        <w:t>Shown significant deficiencies in complying with main obligations under an EU procurement contract, grant agreement, prize, expert contract, or similar (including if done by persons having powers of representation, decision-making or control, beneficial owners or persons who are essential for the award/implementation of the grant),</w:t>
      </w:r>
    </w:p>
    <w:p w14:paraId="56D9F3E6" w14:textId="77777777" w:rsidR="00CC198D" w:rsidRDefault="00000000">
      <w:pPr>
        <w:pStyle w:val="Lijstalinea"/>
        <w:numPr>
          <w:ilvl w:val="2"/>
          <w:numId w:val="1"/>
        </w:numPr>
        <w:tabs>
          <w:tab w:val="left" w:pos="2297"/>
        </w:tabs>
        <w:ind w:right="155" w:hanging="404"/>
        <w:jc w:val="left"/>
        <w:rPr>
          <w:sz w:val="24"/>
        </w:rPr>
      </w:pPr>
      <w:r>
        <w:rPr>
          <w:sz w:val="24"/>
        </w:rPr>
        <w:t>Guilty of irregularities within the meaning of Article 1(2) of Regulation</w:t>
      </w:r>
      <w:hyperlink r:id="rId5">
        <w:r>
          <w:rPr>
            <w:color w:val="0562C1"/>
            <w:sz w:val="24"/>
            <w:u w:val="single" w:color="0562C1"/>
          </w:rPr>
          <w:t xml:space="preserve"> No 2988/95</w:t>
        </w:r>
        <w:r>
          <w:rPr>
            <w:color w:val="0562C1"/>
            <w:sz w:val="24"/>
          </w:rPr>
          <w:t xml:space="preserve"> </w:t>
        </w:r>
      </w:hyperlink>
      <w:r>
        <w:rPr>
          <w:sz w:val="24"/>
        </w:rPr>
        <w:t>(including if done by persons having powers of representation, decision-making or control, beneficial owners or persons who are essential for the award/implementation of the grant),</w:t>
      </w:r>
    </w:p>
    <w:p w14:paraId="026EA1FD" w14:textId="77777777" w:rsidR="00CC198D" w:rsidRDefault="00000000">
      <w:pPr>
        <w:pStyle w:val="Lijstalinea"/>
        <w:numPr>
          <w:ilvl w:val="2"/>
          <w:numId w:val="1"/>
        </w:numPr>
        <w:tabs>
          <w:tab w:val="left" w:pos="2297"/>
        </w:tabs>
        <w:ind w:right="156" w:hanging="459"/>
        <w:jc w:val="left"/>
        <w:rPr>
          <w:sz w:val="24"/>
        </w:rPr>
      </w:pPr>
      <w:r>
        <w:rPr>
          <w:sz w:val="24"/>
        </w:rPr>
        <w:t>Created under a different jurisdiction with the intent to circumvent fiscal, social or other legal obligations in the country of origin or created another entity with this purpose (including if done by persons having powers of representation, decision-making or control, beneficial owners or persons who are essential for the award/implementation of the</w:t>
      </w:r>
      <w:r>
        <w:rPr>
          <w:spacing w:val="1"/>
          <w:sz w:val="24"/>
        </w:rPr>
        <w:t xml:space="preserve"> </w:t>
      </w:r>
      <w:r>
        <w:rPr>
          <w:sz w:val="24"/>
        </w:rPr>
        <w:t>grant).</w:t>
      </w:r>
    </w:p>
    <w:p w14:paraId="69491BCF" w14:textId="77777777" w:rsidR="00CC198D" w:rsidRDefault="00000000">
      <w:pPr>
        <w:pStyle w:val="Lijstalinea"/>
        <w:numPr>
          <w:ilvl w:val="0"/>
          <w:numId w:val="1"/>
        </w:numPr>
        <w:tabs>
          <w:tab w:val="left" w:pos="857"/>
        </w:tabs>
        <w:ind w:right="225" w:hanging="360"/>
        <w:jc w:val="both"/>
        <w:rPr>
          <w:sz w:val="24"/>
        </w:rPr>
      </w:pPr>
      <w:r>
        <w:rPr>
          <w:sz w:val="24"/>
        </w:rPr>
        <w:t>My organisation is NOT subject to a conflict of interest in connection with this grant and will notify — without delay — of any situation which could give rise to a conflict of</w:t>
      </w:r>
      <w:r>
        <w:rPr>
          <w:spacing w:val="1"/>
          <w:sz w:val="24"/>
        </w:rPr>
        <w:t xml:space="preserve"> </w:t>
      </w:r>
      <w:r>
        <w:rPr>
          <w:sz w:val="24"/>
        </w:rPr>
        <w:t>interest.</w:t>
      </w:r>
    </w:p>
    <w:p w14:paraId="34BCB72F" w14:textId="77777777" w:rsidR="00CC198D" w:rsidRDefault="00000000">
      <w:pPr>
        <w:pStyle w:val="Lijstalinea"/>
        <w:numPr>
          <w:ilvl w:val="0"/>
          <w:numId w:val="1"/>
        </w:numPr>
        <w:tabs>
          <w:tab w:val="left" w:pos="857"/>
        </w:tabs>
        <w:spacing w:before="1"/>
        <w:ind w:right="273" w:hanging="360"/>
        <w:rPr>
          <w:sz w:val="24"/>
        </w:rPr>
      </w:pPr>
      <w:r>
        <w:rPr>
          <w:sz w:val="24"/>
        </w:rPr>
        <w:t>My organisation has NOT and will NOT, neither directly nor indirectly, grant, seek, obtain, or accept any advantage in connection with this grant that would constitute an illegal practice or involve</w:t>
      </w:r>
      <w:r>
        <w:rPr>
          <w:spacing w:val="-1"/>
          <w:sz w:val="24"/>
        </w:rPr>
        <w:t xml:space="preserve"> </w:t>
      </w:r>
      <w:r>
        <w:rPr>
          <w:sz w:val="24"/>
        </w:rPr>
        <w:t>corruption.</w:t>
      </w:r>
    </w:p>
    <w:p w14:paraId="46CC4E88" w14:textId="77777777" w:rsidR="00CC198D" w:rsidRDefault="00000000">
      <w:pPr>
        <w:pStyle w:val="Lijstalinea"/>
        <w:numPr>
          <w:ilvl w:val="0"/>
          <w:numId w:val="1"/>
        </w:numPr>
        <w:tabs>
          <w:tab w:val="left" w:pos="857"/>
        </w:tabs>
        <w:ind w:right="306" w:hanging="360"/>
        <w:jc w:val="both"/>
        <w:rPr>
          <w:sz w:val="24"/>
        </w:rPr>
      </w:pPr>
      <w:r>
        <w:rPr>
          <w:sz w:val="24"/>
        </w:rPr>
        <w:t>My organisation is aware that false declarations may lead to rejection, suspension, termination, or reduction of the grant and to administrative sanctions (i.e. financial penalties and/or exclusion from all future grants and expert</w:t>
      </w:r>
      <w:r>
        <w:rPr>
          <w:spacing w:val="-9"/>
          <w:sz w:val="24"/>
        </w:rPr>
        <w:t xml:space="preserve"> </w:t>
      </w:r>
      <w:r>
        <w:rPr>
          <w:sz w:val="24"/>
        </w:rPr>
        <w:t>contracts).</w:t>
      </w:r>
    </w:p>
    <w:p w14:paraId="26ED83AF" w14:textId="77777777" w:rsidR="00CC198D" w:rsidRDefault="00CC198D">
      <w:pPr>
        <w:pStyle w:val="Plattetekst"/>
        <w:rPr>
          <w:sz w:val="20"/>
        </w:rPr>
      </w:pPr>
    </w:p>
    <w:p w14:paraId="00E1A6F9" w14:textId="77777777" w:rsidR="00CC198D" w:rsidRDefault="00CC198D">
      <w:pPr>
        <w:pStyle w:val="Plattetekst"/>
        <w:rPr>
          <w:sz w:val="20"/>
        </w:rPr>
      </w:pPr>
    </w:p>
    <w:p w14:paraId="6BCF3C20" w14:textId="343BC47B" w:rsidR="00CC198D" w:rsidRDefault="00000000">
      <w:pPr>
        <w:tabs>
          <w:tab w:val="left" w:pos="3969"/>
        </w:tabs>
        <w:spacing w:before="212"/>
        <w:ind w:left="136"/>
        <w:rPr>
          <w:rFonts w:ascii="Arial"/>
          <w:sz w:val="32"/>
        </w:rPr>
      </w:pPr>
      <w:r>
        <w:rPr>
          <w:rFonts w:ascii="Arial"/>
          <w:sz w:val="32"/>
          <w:u w:val="thick"/>
        </w:rPr>
        <w:t xml:space="preserve"> </w:t>
      </w:r>
      <w:r>
        <w:rPr>
          <w:rFonts w:ascii="Arial"/>
          <w:spacing w:val="-29"/>
          <w:sz w:val="32"/>
          <w:u w:val="thick"/>
        </w:rPr>
        <w:t xml:space="preserve"> </w:t>
      </w:r>
      <w:r>
        <w:rPr>
          <w:rFonts w:ascii="Arial"/>
          <w:sz w:val="32"/>
          <w:u w:val="thick"/>
        </w:rPr>
        <w:tab/>
      </w:r>
    </w:p>
    <w:p w14:paraId="08429523" w14:textId="77777777" w:rsidR="00CC198D" w:rsidRDefault="00000000">
      <w:pPr>
        <w:spacing w:before="93"/>
        <w:ind w:left="355"/>
        <w:rPr>
          <w:rFonts w:ascii="Arial"/>
          <w:sz w:val="16"/>
        </w:rPr>
      </w:pPr>
      <w:r>
        <w:rPr>
          <w:rFonts w:ascii="Arial"/>
          <w:sz w:val="16"/>
        </w:rPr>
        <w:t>For the grantee</w:t>
      </w:r>
    </w:p>
    <w:p w14:paraId="7D6001F4" w14:textId="77777777" w:rsidR="00CC198D" w:rsidRDefault="00CC198D">
      <w:pPr>
        <w:pStyle w:val="Plattetekst"/>
        <w:rPr>
          <w:rFonts w:ascii="Arial"/>
          <w:sz w:val="20"/>
        </w:rPr>
      </w:pPr>
    </w:p>
    <w:p w14:paraId="6737EE37" w14:textId="77777777" w:rsidR="00CC198D" w:rsidRDefault="00CC198D">
      <w:pPr>
        <w:pStyle w:val="Plattetekst"/>
        <w:rPr>
          <w:rFonts w:ascii="Arial"/>
          <w:sz w:val="20"/>
        </w:rPr>
      </w:pPr>
    </w:p>
    <w:p w14:paraId="67BAA87E" w14:textId="77777777" w:rsidR="00CC198D" w:rsidRDefault="00CC198D">
      <w:pPr>
        <w:pStyle w:val="Plattetekst"/>
        <w:rPr>
          <w:rFonts w:ascii="Arial"/>
          <w:sz w:val="20"/>
        </w:rPr>
      </w:pPr>
    </w:p>
    <w:p w14:paraId="7EDED4EB" w14:textId="77777777" w:rsidR="00CC198D" w:rsidRDefault="001B789E">
      <w:pPr>
        <w:pStyle w:val="Plattetekst"/>
        <w:spacing w:before="7"/>
        <w:rPr>
          <w:rFonts w:ascii="Arial"/>
          <w:sz w:val="17"/>
        </w:rPr>
      </w:pPr>
      <w:r>
        <w:rPr>
          <w:noProof/>
        </w:rPr>
        <mc:AlternateContent>
          <mc:Choice Requires="wps">
            <w:drawing>
              <wp:anchor distT="0" distB="0" distL="0" distR="0" simplePos="0" relativeHeight="251661312" behindDoc="1" locked="0" layoutInCell="1" allowOverlap="1" wp14:anchorId="28AD5D9E" wp14:editId="1DED3F28">
                <wp:simplePos x="0" y="0"/>
                <wp:positionH relativeFrom="page">
                  <wp:posOffset>899160</wp:posOffset>
                </wp:positionH>
                <wp:positionV relativeFrom="paragraph">
                  <wp:posOffset>159385</wp:posOffset>
                </wp:positionV>
                <wp:extent cx="182943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416 1416"/>
                            <a:gd name="T1" fmla="*/ T0 w 2881"/>
                            <a:gd name="T2" fmla="+- 0 4297 1416"/>
                            <a:gd name="T3" fmla="*/ T2 w 2881"/>
                          </a:gdLst>
                          <a:ahLst/>
                          <a:cxnLst>
                            <a:cxn ang="0">
                              <a:pos x="T1" y="0"/>
                            </a:cxn>
                            <a:cxn ang="0">
                              <a:pos x="T3" y="0"/>
                            </a:cxn>
                          </a:cxnLst>
                          <a:rect l="0" t="0" r="r" b="b"/>
                          <a:pathLst>
                            <a:path w="2881">
                              <a:moveTo>
                                <a:pt x="0" y="0"/>
                              </a:moveTo>
                              <a:lnTo>
                                <a:pt x="2881" y="0"/>
                              </a:lnTo>
                            </a:path>
                          </a:pathLst>
                        </a:custGeom>
                        <a:noFill/>
                        <a:ln w="1066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F2E8F" id="Freeform 2" o:spid="_x0000_s1026" style="position:absolute;margin-left:70.8pt;margin-top:12.55pt;width:144.0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" path="m,l2881,e" filled="f" strokeweight=".84pt">
                <v:path arrowok="t" o:connecttype="custom" o:connectlocs="0,0;1829435,0" o:connectangles="0,0"/>
                <w10:wrap type="topAndBottom" anchorx="page"/>
              </v:shape>
            </w:pict>
          </mc:Fallback>
        </mc:AlternateContent>
      </w:r>
    </w:p>
    <w:p w14:paraId="459B31D5" w14:textId="77777777" w:rsidR="00CC198D" w:rsidRDefault="00000000">
      <w:pPr>
        <w:spacing w:before="76"/>
        <w:ind w:left="136" w:right="98"/>
        <w:rPr>
          <w:sz w:val="20"/>
        </w:rPr>
      </w:pPr>
      <w:r>
        <w:rPr>
          <w:position w:val="7"/>
          <w:sz w:val="13"/>
        </w:rPr>
        <w:t xml:space="preserve">3 </w:t>
      </w:r>
      <w:r>
        <w:rPr>
          <w:sz w:val="20"/>
        </w:rPr>
        <w:t>Professional misconduct includes violation of ethical standards of the profession, wrongful conduct with impact on professional credibility, false declarations/misrepresentation of information, participation in a cartel or other agreement distorting competition, violation of IPR, attempting to influence decision-making processes or obtain confidential information from public authorities to gain an advantage.</w:t>
      </w:r>
    </w:p>
    <w:sectPr w:rsidR="00CC198D">
      <w:pgSz w:w="11910" w:h="16840"/>
      <w:pgMar w:top="1560" w:right="1360" w:bottom="280" w:left="12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Light">
    <w:altName w:val="Calibri"/>
    <w:panose1 w:val="020B0604020202020204"/>
    <w:charset w:val="00"/>
    <w:family w:val="swiss"/>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C012EF"/>
    <w:multiLevelType w:val="hybridMultilevel"/>
    <w:tmpl w:val="2D8226D0"/>
    <w:lvl w:ilvl="0" w:tplc="4DECE922">
      <w:start w:val="1"/>
      <w:numFmt w:val="decimal"/>
      <w:lvlText w:val="%1."/>
      <w:lvlJc w:val="left"/>
      <w:pPr>
        <w:ind w:left="856" w:hanging="361"/>
        <w:jc w:val="left"/>
      </w:pPr>
      <w:rPr>
        <w:rFonts w:ascii="Calibri" w:eastAsia="Calibri" w:hAnsi="Calibri" w:cs="Calibri" w:hint="default"/>
        <w:spacing w:val="-3"/>
        <w:w w:val="100"/>
        <w:sz w:val="24"/>
        <w:szCs w:val="24"/>
        <w:lang w:val="de-DE" w:eastAsia="de-DE" w:bidi="de-DE"/>
      </w:rPr>
    </w:lvl>
    <w:lvl w:ilvl="1" w:tplc="70A02460">
      <w:start w:val="1"/>
      <w:numFmt w:val="lowerLetter"/>
      <w:lvlText w:val="%2."/>
      <w:lvlJc w:val="left"/>
      <w:pPr>
        <w:ind w:left="1576" w:hanging="361"/>
        <w:jc w:val="left"/>
      </w:pPr>
      <w:rPr>
        <w:rFonts w:ascii="Calibri" w:eastAsia="Calibri" w:hAnsi="Calibri" w:cs="Calibri" w:hint="default"/>
        <w:spacing w:val="-2"/>
        <w:w w:val="100"/>
        <w:sz w:val="24"/>
        <w:szCs w:val="24"/>
        <w:lang w:val="de-DE" w:eastAsia="de-DE" w:bidi="de-DE"/>
      </w:rPr>
    </w:lvl>
    <w:lvl w:ilvl="2" w:tplc="EAFC8A64">
      <w:start w:val="1"/>
      <w:numFmt w:val="lowerRoman"/>
      <w:lvlText w:val="%3."/>
      <w:lvlJc w:val="left"/>
      <w:pPr>
        <w:ind w:left="2296" w:hanging="296"/>
        <w:jc w:val="right"/>
      </w:pPr>
      <w:rPr>
        <w:rFonts w:ascii="Calibri" w:eastAsia="Calibri" w:hAnsi="Calibri" w:cs="Calibri" w:hint="default"/>
        <w:spacing w:val="-3"/>
        <w:w w:val="100"/>
        <w:sz w:val="24"/>
        <w:szCs w:val="24"/>
        <w:lang w:val="de-DE" w:eastAsia="de-DE" w:bidi="de-DE"/>
      </w:rPr>
    </w:lvl>
    <w:lvl w:ilvl="3" w:tplc="B84E07C6">
      <w:numFmt w:val="bullet"/>
      <w:lvlText w:val="•"/>
      <w:lvlJc w:val="left"/>
      <w:pPr>
        <w:ind w:left="3170" w:hanging="296"/>
      </w:pPr>
      <w:rPr>
        <w:rFonts w:hint="default"/>
        <w:lang w:val="de-DE" w:eastAsia="de-DE" w:bidi="de-DE"/>
      </w:rPr>
    </w:lvl>
    <w:lvl w:ilvl="4" w:tplc="9A369088">
      <w:numFmt w:val="bullet"/>
      <w:lvlText w:val="•"/>
      <w:lvlJc w:val="left"/>
      <w:pPr>
        <w:ind w:left="4041" w:hanging="296"/>
      </w:pPr>
      <w:rPr>
        <w:rFonts w:hint="default"/>
        <w:lang w:val="de-DE" w:eastAsia="de-DE" w:bidi="de-DE"/>
      </w:rPr>
    </w:lvl>
    <w:lvl w:ilvl="5" w:tplc="29CA8AC6">
      <w:numFmt w:val="bullet"/>
      <w:lvlText w:val="•"/>
      <w:lvlJc w:val="left"/>
      <w:pPr>
        <w:ind w:left="4912" w:hanging="296"/>
      </w:pPr>
      <w:rPr>
        <w:rFonts w:hint="default"/>
        <w:lang w:val="de-DE" w:eastAsia="de-DE" w:bidi="de-DE"/>
      </w:rPr>
    </w:lvl>
    <w:lvl w:ilvl="6" w:tplc="2F8C7960">
      <w:numFmt w:val="bullet"/>
      <w:lvlText w:val="•"/>
      <w:lvlJc w:val="left"/>
      <w:pPr>
        <w:ind w:left="5783" w:hanging="296"/>
      </w:pPr>
      <w:rPr>
        <w:rFonts w:hint="default"/>
        <w:lang w:val="de-DE" w:eastAsia="de-DE" w:bidi="de-DE"/>
      </w:rPr>
    </w:lvl>
    <w:lvl w:ilvl="7" w:tplc="BD54EBF4">
      <w:numFmt w:val="bullet"/>
      <w:lvlText w:val="•"/>
      <w:lvlJc w:val="left"/>
      <w:pPr>
        <w:ind w:left="6654" w:hanging="296"/>
      </w:pPr>
      <w:rPr>
        <w:rFonts w:hint="default"/>
        <w:lang w:val="de-DE" w:eastAsia="de-DE" w:bidi="de-DE"/>
      </w:rPr>
    </w:lvl>
    <w:lvl w:ilvl="8" w:tplc="94749D28">
      <w:numFmt w:val="bullet"/>
      <w:lvlText w:val="•"/>
      <w:lvlJc w:val="left"/>
      <w:pPr>
        <w:ind w:left="7524" w:hanging="296"/>
      </w:pPr>
      <w:rPr>
        <w:rFonts w:hint="default"/>
        <w:lang w:val="de-DE" w:eastAsia="de-DE" w:bidi="de-DE"/>
      </w:rPr>
    </w:lvl>
  </w:abstractNum>
  <w:num w:numId="1" w16cid:durableId="1550609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98D"/>
    <w:rsid w:val="001B789E"/>
    <w:rsid w:val="00CC19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E72CF"/>
  <w15:docId w15:val="{3D04210E-ED0E-C241-B0C0-B3B768161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lang w:val="de-DE" w:eastAsia="de-DE" w:bidi="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4"/>
      <w:szCs w:val="24"/>
    </w:rPr>
  </w:style>
  <w:style w:type="paragraph" w:styleId="Lijstalinea">
    <w:name w:val="List Paragraph"/>
    <w:basedOn w:val="Standaard"/>
    <w:uiPriority w:val="1"/>
    <w:qFormat/>
    <w:pPr>
      <w:ind w:left="856" w:hanging="361"/>
    </w:pPr>
  </w:style>
  <w:style w:type="paragraph" w:customStyle="1" w:styleId="TableParagraph">
    <w:name w:val="Table Paragraph"/>
    <w:basedOn w:val="Standa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ur-lex.europa.eu/legal-content/EN/ALL/?uri=CELEX%3A31995R2988&amp;qid=150159862251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740</Words>
  <Characters>4071</Characters>
  <Application>Microsoft Office Word</Application>
  <DocSecurity>0</DocSecurity>
  <Lines>33</Lines>
  <Paragraphs>9</Paragraphs>
  <ScaleCrop>false</ScaleCrop>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McKenzie</dc:creator>
  <cp:lastModifiedBy>Bert Groen</cp:lastModifiedBy>
  <cp:revision>2</cp:revision>
  <dcterms:created xsi:type="dcterms:W3CDTF">2023-03-30T11:34:00Z</dcterms:created>
  <dcterms:modified xsi:type="dcterms:W3CDTF">2023-03-30T11:34:00Z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2023-02-03T00:00:00Z</vt:filetime>
  </property>
  <property fmtid="{D5CDD505-2E9C-101B-9397-08002B2CF9AE}" pid="3" name="Creator">
    <vt:lpwstr>Microsoft® Word for Microsoft 365</vt:lpwstr>
  </property>
  <property fmtid="{D5CDD505-2E9C-101B-9397-08002B2CF9AE}" pid="4" name="LastSaved">
    <vt:filetime>2023-03-30T00:00:00Z</vt:filetime>
  </property>
</Properties>
</file>